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75A" w:rsidRDefault="009771F4">
      <w:pPr>
        <w:overflowPunct w:val="0"/>
        <w:autoSpaceDE w:val="0"/>
        <w:autoSpaceDN w:val="0"/>
        <w:adjustRightInd w:val="0"/>
        <w:snapToGrid w:val="0"/>
        <w:jc w:val="left"/>
        <w:textAlignment w:val="baseline"/>
        <w:rPr>
          <w:rFonts w:ascii="Arial" w:hAnsi="Arial" w:cs="Arial"/>
          <w:b/>
          <w:bCs/>
          <w:snapToGrid w:val="0"/>
          <w:kern w:val="0"/>
          <w:sz w:val="24"/>
        </w:rPr>
      </w:pPr>
      <w:bookmarkStart w:id="0" w:name="_GoBack"/>
      <w:bookmarkEnd w:id="0"/>
      <w:r>
        <w:rPr>
          <w:rFonts w:ascii="Arial" w:hAnsi="Arial" w:cs="Arial"/>
          <w:b/>
          <w:bCs/>
          <w:snapToGrid w:val="0"/>
          <w:kern w:val="0"/>
          <w:sz w:val="24"/>
        </w:rPr>
        <w:t xml:space="preserve">3GPP TSG-RAN WG2 </w:t>
      </w:r>
      <w:r>
        <w:rPr>
          <w:rFonts w:ascii="Arial" w:hAnsi="Arial" w:cs="Arial"/>
          <w:b/>
          <w:bCs/>
          <w:snapToGrid w:val="0"/>
          <w:kern w:val="0"/>
          <w:sz w:val="24"/>
          <w:lang w:val="en-GB"/>
        </w:rPr>
        <w:t>NR Ad hoc 0118</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R2-1800469</w:t>
      </w:r>
    </w:p>
    <w:p w:rsidR="0008775A" w:rsidRDefault="009771F4">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lang w:val="en-GB"/>
        </w:rPr>
        <w:t>Vancouver, Canada, 22nd January – 26th January 2018</w:t>
      </w:r>
      <w:r>
        <w:rPr>
          <w:rFonts w:ascii="Arial" w:hAnsi="Arial" w:cs="Arial" w:hint="eastAsia"/>
          <w:b/>
          <w:bCs/>
          <w:kern w:val="0"/>
          <w:sz w:val="24"/>
        </w:rPr>
        <w:t xml:space="preserve">    </w:t>
      </w:r>
    </w:p>
    <w:p w:rsidR="0008775A" w:rsidRDefault="009771F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08775A" w:rsidRDefault="009771F4">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0ms handover interruption requirement from IMT2020 in R15</w:t>
      </w:r>
      <w:r>
        <w:rPr>
          <w:rFonts w:ascii="Arial" w:hAnsi="Arial" w:cs="Arial"/>
          <w:b/>
          <w:bCs/>
          <w:snapToGrid w:val="0"/>
          <w:kern w:val="0"/>
          <w:sz w:val="24"/>
        </w:rPr>
        <w:t xml:space="preserve"> </w:t>
      </w:r>
    </w:p>
    <w:p w:rsidR="0008775A" w:rsidRDefault="009771F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10.2.4</w:t>
      </w:r>
    </w:p>
    <w:p w:rsidR="0008775A" w:rsidRDefault="009771F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08775A" w:rsidRDefault="009771F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08775A" w:rsidRDefault="009771F4">
      <w:r>
        <w:rPr>
          <w:rFonts w:hint="eastAsia"/>
        </w:rPr>
        <w:t xml:space="preserve">At RAN#78, RAN2 </w:t>
      </w:r>
      <w:r>
        <w:t>wa</w:t>
      </w:r>
      <w:r>
        <w:rPr>
          <w:rFonts w:hint="eastAsia"/>
        </w:rPr>
        <w:t xml:space="preserve">s tasked to investigate how the IMT-2020 requirement on 0ms handover interruption </w:t>
      </w:r>
      <w:r>
        <w:t>time</w:t>
      </w:r>
      <w:r>
        <w:rPr>
          <w:rFonts w:hint="eastAsia"/>
        </w:rPr>
        <w:t xml:space="preserve"> can </w:t>
      </w:r>
      <w:proofErr w:type="gramStart"/>
      <w:r>
        <w:rPr>
          <w:rFonts w:hint="eastAsia"/>
        </w:rPr>
        <w:t>be</w:t>
      </w:r>
      <w:proofErr w:type="gramEnd"/>
      <w:r>
        <w:rPr>
          <w:rFonts w:hint="eastAsia"/>
        </w:rPr>
        <w:t xml:space="preserve"> addressed for LTE and NR within the Rel-15 time frame. </w:t>
      </w:r>
      <w:bookmarkStart w:id="3" w:name="OLE_LINK7"/>
      <w:r>
        <w:rPr>
          <w:rFonts w:hint="eastAsia"/>
        </w:rPr>
        <w:t>And per the guideline from RAN#78, the first step is to study if the IMT-2020 requirement can be achieved with existing LTE specs, and with developing NR specs</w:t>
      </w:r>
      <w:bookmarkEnd w:id="3"/>
      <w:r>
        <w:rPr>
          <w:rFonts w:hint="eastAsia"/>
        </w:rPr>
        <w:t xml:space="preserve"> </w:t>
      </w:r>
      <w:r>
        <w:rPr>
          <w:rFonts w:hint="eastAsia"/>
        </w:rPr>
        <w:fldChar w:fldCharType="begin"/>
      </w:r>
      <w:r>
        <w:rPr>
          <w:rFonts w:hint="eastAsia"/>
        </w:rPr>
        <w:instrText xml:space="preserve"> REF _Ref21220 \n \h </w:instrText>
      </w:r>
      <w:r>
        <w:rPr>
          <w:rFonts w:hint="eastAsia"/>
        </w:rPr>
      </w:r>
      <w:r>
        <w:rPr>
          <w:rFonts w:hint="eastAsia"/>
        </w:rPr>
        <w:fldChar w:fldCharType="separate"/>
      </w:r>
      <w:r>
        <w:rPr>
          <w:rFonts w:hint="eastAsia"/>
        </w:rPr>
        <w:t>[1]</w:t>
      </w:r>
      <w:r>
        <w:rPr>
          <w:rFonts w:hint="eastAsia"/>
        </w:rPr>
        <w:fldChar w:fldCharType="end"/>
      </w:r>
      <w:r>
        <w:rPr>
          <w:rFonts w:hint="eastAsia"/>
        </w:rPr>
        <w:t>.</w:t>
      </w:r>
    </w:p>
    <w:p w:rsidR="0008775A" w:rsidRDefault="009771F4">
      <w:r>
        <w:t>An email discussion over the RAN2 reflector is planned for this until RAN2#101, where a joint LTE/NR discussion is expected to take place.</w:t>
      </w:r>
    </w:p>
    <w:p w:rsidR="0008775A" w:rsidRDefault="009771F4">
      <w:r>
        <w:rPr>
          <w:rFonts w:hint="eastAsia"/>
        </w:rPr>
        <w:t xml:space="preserve">In this contribution, </w:t>
      </w:r>
      <w:r>
        <w:t xml:space="preserve">we anyway start to share our views </w:t>
      </w:r>
      <w:r>
        <w:rPr>
          <w:rFonts w:hint="eastAsia"/>
        </w:rPr>
        <w:t>on how to address the 0ms handover interruption with existing LTE specs, and with developing NR specs.</w:t>
      </w:r>
    </w:p>
    <w:p w:rsidR="0008775A" w:rsidRDefault="009771F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08775A" w:rsidRDefault="009771F4">
      <w:r>
        <w:rPr>
          <w:rFonts w:eastAsia="宋体" w:hint="eastAsia"/>
          <w:bCs/>
        </w:rPr>
        <w:t>In the typical LTE HO, the UE stops communication with the source cell upon receiving the HO command. So from the perspective of service transmission, the data disruption start</w:t>
      </w:r>
      <w:r>
        <w:rPr>
          <w:rFonts w:eastAsia="宋体"/>
          <w:bCs/>
        </w:rPr>
        <w:t>s</w:t>
      </w:r>
      <w:r>
        <w:rPr>
          <w:rFonts w:eastAsia="宋体" w:hint="eastAsia"/>
          <w:bCs/>
        </w:rPr>
        <w:t xml:space="preserve"> from the receiving of the HO </w:t>
      </w:r>
      <w:r>
        <w:rPr>
          <w:rFonts w:eastAsia="宋体"/>
          <w:bCs/>
        </w:rPr>
        <w:t xml:space="preserve">command </w:t>
      </w:r>
      <w:r>
        <w:rPr>
          <w:rFonts w:eastAsia="宋体" w:hint="eastAsia"/>
          <w:bCs/>
        </w:rPr>
        <w:t>until the UE transmits/receives the first packet to/from the target cell. In 36.881</w:t>
      </w:r>
      <w:r>
        <w:rPr>
          <w:rFonts w:eastAsia="宋体" w:hint="eastAsia"/>
          <w:bCs/>
        </w:rPr>
        <w:fldChar w:fldCharType="begin"/>
      </w:r>
      <w:r>
        <w:rPr>
          <w:rFonts w:eastAsia="宋体" w:hint="eastAsia"/>
          <w:bCs/>
        </w:rPr>
        <w:instrText xml:space="preserve"> REF _Ref21279 \n \h </w:instrText>
      </w:r>
      <w:r>
        <w:rPr>
          <w:rFonts w:eastAsia="宋体" w:hint="eastAsia"/>
          <w:bCs/>
        </w:rPr>
      </w:r>
      <w:r>
        <w:rPr>
          <w:rFonts w:eastAsia="宋体" w:hint="eastAsia"/>
          <w:bCs/>
        </w:rPr>
        <w:fldChar w:fldCharType="separate"/>
      </w:r>
      <w:r>
        <w:rPr>
          <w:rFonts w:eastAsia="宋体" w:hint="eastAsia"/>
          <w:bCs/>
        </w:rPr>
        <w:t>[2]</w:t>
      </w:r>
      <w:r>
        <w:rPr>
          <w:rFonts w:eastAsia="宋体" w:hint="eastAsia"/>
          <w:bCs/>
        </w:rPr>
        <w:fldChar w:fldCharType="end"/>
      </w:r>
      <w:r>
        <w:rPr>
          <w:rFonts w:eastAsia="宋体" w:hint="eastAsia"/>
          <w:bCs/>
        </w:rPr>
        <w:t xml:space="preserve">, the service </w:t>
      </w:r>
      <w:r>
        <w:t>interruption time</w:t>
      </w:r>
      <w:r>
        <w:rPr>
          <w:rFonts w:hint="eastAsia"/>
        </w:rPr>
        <w:t xml:space="preserve"> in handover (i.e. the handover interruption) is </w:t>
      </w:r>
      <w:r>
        <w:t xml:space="preserve">defined as the duration between the time when UE stops transmission/reception with the source </w:t>
      </w:r>
      <w:proofErr w:type="spellStart"/>
      <w:r>
        <w:t>eNB</w:t>
      </w:r>
      <w:proofErr w:type="spellEnd"/>
      <w:r>
        <w:t xml:space="preserve"> and the time when target </w:t>
      </w:r>
      <w:proofErr w:type="spellStart"/>
      <w:r>
        <w:t>eNB</w:t>
      </w:r>
      <w:proofErr w:type="spellEnd"/>
      <w:r>
        <w:t xml:space="preserve"> resumes transmission/reception with the UE.</w:t>
      </w:r>
    </w:p>
    <w:p w:rsidR="0008775A" w:rsidRDefault="0008775A"/>
    <w:p w:rsidR="0008775A" w:rsidRDefault="009771F4">
      <w:pPr>
        <w:jc w:val="center"/>
        <w:rPr>
          <w:lang w:eastAsia="ko-KR"/>
        </w:rPr>
      </w:pPr>
      <w:r>
        <w:rPr>
          <w:noProof/>
        </w:rPr>
        <w:drawing>
          <wp:inline distT="0" distB="0" distL="0" distR="0">
            <wp:extent cx="4618990" cy="1406525"/>
            <wp:effectExtent l="0" t="0" r="10160" b="3175"/>
            <wp:docPr id="124"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18990" cy="1406525"/>
                    </a:xfrm>
                    <a:prstGeom prst="rect">
                      <a:avLst/>
                    </a:prstGeom>
                    <a:noFill/>
                    <a:ln>
                      <a:noFill/>
                    </a:ln>
                  </pic:spPr>
                </pic:pic>
              </a:graphicData>
            </a:graphic>
          </wp:inline>
        </w:drawing>
      </w:r>
    </w:p>
    <w:p w:rsidR="0008775A" w:rsidRDefault="009771F4">
      <w:pPr>
        <w:jc w:val="center"/>
      </w:pPr>
      <w:r>
        <w:rPr>
          <w:rFonts w:hint="eastAsia"/>
        </w:rPr>
        <w:t xml:space="preserve">Figure.1 </w:t>
      </w:r>
      <w:r>
        <w:t>Service interruption time in handover</w:t>
      </w:r>
    </w:p>
    <w:p w:rsidR="0008775A" w:rsidRDefault="009771F4">
      <w:pPr>
        <w:jc w:val="center"/>
      </w:pPr>
      <w:r>
        <w:rPr>
          <w:rFonts w:hint="eastAsia"/>
        </w:rPr>
        <w:t xml:space="preserve">Table.1 </w:t>
      </w:r>
      <w:r>
        <w:t>Minimum/Typical radio access latency components (Rel. 8/Rel. 9) during handover</w:t>
      </w:r>
    </w:p>
    <w:tbl>
      <w:tblPr>
        <w:tblW w:w="8183" w:type="dxa"/>
        <w:jc w:val="center"/>
        <w:tblLayout w:type="fixed"/>
        <w:tblLook w:val="04A0" w:firstRow="1" w:lastRow="0" w:firstColumn="1" w:lastColumn="0" w:noHBand="0" w:noVBand="1"/>
      </w:tblPr>
      <w:tblGrid>
        <w:gridCol w:w="1267"/>
        <w:gridCol w:w="5881"/>
        <w:gridCol w:w="1035"/>
      </w:tblGrid>
      <w:tr w:rsidR="0008775A">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vAlign w:val="bottom"/>
          </w:tcPr>
          <w:p w:rsidR="0008775A" w:rsidRDefault="009771F4">
            <w:pPr>
              <w:pStyle w:val="TAH"/>
            </w:pPr>
            <w:r>
              <w:lastRenderedPageBreak/>
              <w:t>Component/ Step</w:t>
            </w:r>
          </w:p>
        </w:tc>
        <w:tc>
          <w:tcPr>
            <w:tcW w:w="5881" w:type="dxa"/>
            <w:tcBorders>
              <w:top w:val="single" w:sz="8" w:space="0" w:color="auto"/>
              <w:left w:val="nil"/>
              <w:bottom w:val="single" w:sz="8" w:space="0" w:color="auto"/>
              <w:right w:val="single" w:sz="8" w:space="0" w:color="auto"/>
            </w:tcBorders>
            <w:shd w:val="clear" w:color="auto" w:fill="auto"/>
            <w:vAlign w:val="bottom"/>
          </w:tcPr>
          <w:p w:rsidR="0008775A" w:rsidRDefault="009771F4">
            <w:pPr>
              <w:pStyle w:val="TAH"/>
            </w:pPr>
            <w:r>
              <w:t>Description</w:t>
            </w:r>
          </w:p>
        </w:tc>
        <w:tc>
          <w:tcPr>
            <w:tcW w:w="1035" w:type="dxa"/>
            <w:tcBorders>
              <w:top w:val="single" w:sz="8" w:space="0" w:color="auto"/>
              <w:left w:val="nil"/>
              <w:bottom w:val="single" w:sz="8" w:space="0" w:color="auto"/>
              <w:right w:val="single" w:sz="8" w:space="0" w:color="auto"/>
            </w:tcBorders>
            <w:shd w:val="clear" w:color="auto" w:fill="auto"/>
            <w:vAlign w:val="bottom"/>
          </w:tcPr>
          <w:p w:rsidR="0008775A" w:rsidRDefault="009771F4">
            <w:pPr>
              <w:pStyle w:val="TAH"/>
            </w:pPr>
            <w:r>
              <w:t>Time (</w:t>
            </w:r>
            <w:proofErr w:type="spellStart"/>
            <w:r>
              <w:t>ms</w:t>
            </w:r>
            <w:proofErr w:type="spellEnd"/>
            <w:r>
              <w:t>)</w:t>
            </w:r>
          </w:p>
        </w:tc>
      </w:tr>
      <w:tr w:rsidR="0008775A">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8775A" w:rsidRDefault="009771F4">
            <w:pPr>
              <w:pStyle w:val="TAC"/>
              <w:rPr>
                <w:rFonts w:eastAsia="宋体"/>
              </w:rPr>
            </w:pPr>
            <w:r>
              <w:rPr>
                <w:rFonts w:eastAsia="宋体"/>
              </w:rPr>
              <w:t>7</w:t>
            </w:r>
          </w:p>
        </w:tc>
        <w:tc>
          <w:tcPr>
            <w:tcW w:w="5881"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t xml:space="preserve">RRC Connection Reconfiguration Incl. </w:t>
            </w:r>
            <w:proofErr w:type="spellStart"/>
            <w:r>
              <w:rPr>
                <w:i/>
              </w:rPr>
              <w:t>mobilityControlInfo</w:t>
            </w:r>
            <w:proofErr w:type="spellEnd"/>
          </w:p>
        </w:tc>
        <w:tc>
          <w:tcPr>
            <w:tcW w:w="1035"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rPr>
                <w:rFonts w:eastAsia="宋体"/>
              </w:rPr>
              <w:t>15</w:t>
            </w:r>
          </w:p>
        </w:tc>
      </w:tr>
      <w:tr w:rsidR="0008775A">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8775A" w:rsidRDefault="009771F4">
            <w:pPr>
              <w:pStyle w:val="TAC"/>
              <w:rPr>
                <w:rFonts w:eastAsia="宋体"/>
              </w:rPr>
            </w:pPr>
            <w:r>
              <w:rPr>
                <w:rFonts w:eastAsia="宋体"/>
              </w:rPr>
              <w:t>8</w:t>
            </w:r>
          </w:p>
        </w:tc>
        <w:tc>
          <w:tcPr>
            <w:tcW w:w="5881"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t>SN Status Transfer</w:t>
            </w:r>
          </w:p>
        </w:tc>
        <w:tc>
          <w:tcPr>
            <w:tcW w:w="1035"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rPr>
                <w:rFonts w:eastAsia="宋体"/>
              </w:rPr>
              <w:t>0</w:t>
            </w:r>
          </w:p>
        </w:tc>
      </w:tr>
      <w:tr w:rsidR="0008775A">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8775A" w:rsidRDefault="009771F4">
            <w:pPr>
              <w:pStyle w:val="TAC"/>
              <w:rPr>
                <w:rFonts w:eastAsia="宋体"/>
              </w:rPr>
            </w:pPr>
            <w:r>
              <w:rPr>
                <w:rFonts w:eastAsia="宋体"/>
              </w:rPr>
              <w:t>9.1</w:t>
            </w:r>
          </w:p>
        </w:tc>
        <w:tc>
          <w:tcPr>
            <w:tcW w:w="5881"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t>Target cell search</w:t>
            </w:r>
          </w:p>
        </w:tc>
        <w:tc>
          <w:tcPr>
            <w:tcW w:w="1035"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rPr>
                <w:rFonts w:eastAsia="宋体"/>
              </w:rPr>
              <w:t>0</w:t>
            </w:r>
          </w:p>
        </w:tc>
      </w:tr>
      <w:tr w:rsidR="0008775A">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8775A" w:rsidRDefault="009771F4">
            <w:pPr>
              <w:pStyle w:val="TAC"/>
              <w:rPr>
                <w:rFonts w:eastAsia="宋体"/>
              </w:rPr>
            </w:pPr>
            <w:r>
              <w:rPr>
                <w:rFonts w:eastAsia="宋体"/>
              </w:rPr>
              <w:t>9.2</w:t>
            </w:r>
          </w:p>
        </w:tc>
        <w:tc>
          <w:tcPr>
            <w:tcW w:w="5881"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t>UE processing time for RF/baseband re-tuning, security update</w:t>
            </w:r>
          </w:p>
        </w:tc>
        <w:tc>
          <w:tcPr>
            <w:tcW w:w="1035"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rPr>
                <w:rFonts w:eastAsia="宋体"/>
              </w:rPr>
              <w:t>20</w:t>
            </w:r>
          </w:p>
        </w:tc>
      </w:tr>
      <w:tr w:rsidR="0008775A">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8775A" w:rsidRDefault="009771F4">
            <w:pPr>
              <w:pStyle w:val="TAC"/>
              <w:rPr>
                <w:rFonts w:eastAsia="宋体"/>
              </w:rPr>
            </w:pPr>
            <w:r>
              <w:rPr>
                <w:rFonts w:eastAsia="宋体"/>
              </w:rPr>
              <w:t>9.3</w:t>
            </w:r>
          </w:p>
        </w:tc>
        <w:tc>
          <w:tcPr>
            <w:tcW w:w="5881"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t xml:space="preserve">Delay to acquire first available PRACH in target </w:t>
            </w:r>
            <w:proofErr w:type="spellStart"/>
            <w:r>
              <w:t>eNB</w:t>
            </w:r>
            <w:proofErr w:type="spellEnd"/>
          </w:p>
        </w:tc>
        <w:tc>
          <w:tcPr>
            <w:tcW w:w="1035"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rPr>
                <w:rFonts w:eastAsia="宋体"/>
              </w:rPr>
              <w:t>0.5/2.5</w:t>
            </w:r>
          </w:p>
        </w:tc>
      </w:tr>
      <w:tr w:rsidR="0008775A">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8775A" w:rsidRDefault="009771F4">
            <w:pPr>
              <w:pStyle w:val="TAC"/>
              <w:rPr>
                <w:rFonts w:eastAsia="宋体"/>
              </w:rPr>
            </w:pPr>
            <w:r>
              <w:rPr>
                <w:rFonts w:eastAsia="宋体"/>
              </w:rPr>
              <w:t>9.4</w:t>
            </w:r>
          </w:p>
        </w:tc>
        <w:tc>
          <w:tcPr>
            <w:tcW w:w="5881"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t>PRACH preamble transmission</w:t>
            </w:r>
          </w:p>
        </w:tc>
        <w:tc>
          <w:tcPr>
            <w:tcW w:w="1035"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rPr>
                <w:rFonts w:eastAsia="宋体"/>
              </w:rPr>
              <w:t>1</w:t>
            </w:r>
          </w:p>
        </w:tc>
      </w:tr>
      <w:tr w:rsidR="0008775A">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8775A" w:rsidRDefault="009771F4">
            <w:pPr>
              <w:pStyle w:val="TAC"/>
              <w:rPr>
                <w:rFonts w:eastAsia="宋体"/>
              </w:rPr>
            </w:pPr>
            <w:r>
              <w:rPr>
                <w:rFonts w:eastAsia="宋体"/>
              </w:rPr>
              <w:t>10</w:t>
            </w:r>
          </w:p>
        </w:tc>
        <w:tc>
          <w:tcPr>
            <w:tcW w:w="5881"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t>UL Allocation + TA for UE</w:t>
            </w:r>
          </w:p>
        </w:tc>
        <w:tc>
          <w:tcPr>
            <w:tcW w:w="1035"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rPr>
                <w:rFonts w:eastAsia="宋体"/>
              </w:rPr>
              <w:t>3/5</w:t>
            </w:r>
          </w:p>
        </w:tc>
      </w:tr>
      <w:tr w:rsidR="0008775A">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8775A" w:rsidRDefault="009771F4">
            <w:pPr>
              <w:pStyle w:val="TAC"/>
              <w:rPr>
                <w:rFonts w:eastAsia="宋体"/>
              </w:rPr>
            </w:pPr>
            <w:r>
              <w:rPr>
                <w:rFonts w:eastAsia="宋体"/>
              </w:rPr>
              <w:t>11</w:t>
            </w:r>
          </w:p>
        </w:tc>
        <w:tc>
          <w:tcPr>
            <w:tcW w:w="5881" w:type="dxa"/>
            <w:tcBorders>
              <w:top w:val="nil"/>
              <w:left w:val="nil"/>
              <w:bottom w:val="single" w:sz="8" w:space="0" w:color="auto"/>
              <w:right w:val="single" w:sz="8" w:space="0" w:color="auto"/>
            </w:tcBorders>
            <w:shd w:val="clear" w:color="auto" w:fill="auto"/>
          </w:tcPr>
          <w:p w:rsidR="0008775A" w:rsidRDefault="009771F4">
            <w:pPr>
              <w:pStyle w:val="TAC"/>
            </w:pPr>
            <w:r>
              <w:t>UE sends RRC Connection Reconfiguration Complete</w:t>
            </w:r>
          </w:p>
        </w:tc>
        <w:tc>
          <w:tcPr>
            <w:tcW w:w="1035" w:type="dxa"/>
            <w:tcBorders>
              <w:top w:val="nil"/>
              <w:left w:val="nil"/>
              <w:bottom w:val="single" w:sz="8" w:space="0" w:color="auto"/>
              <w:right w:val="single" w:sz="8" w:space="0" w:color="auto"/>
            </w:tcBorders>
            <w:shd w:val="clear" w:color="auto" w:fill="auto"/>
          </w:tcPr>
          <w:p w:rsidR="0008775A" w:rsidRDefault="009771F4">
            <w:pPr>
              <w:pStyle w:val="TAC"/>
              <w:rPr>
                <w:rFonts w:eastAsia="宋体"/>
              </w:rPr>
            </w:pPr>
            <w:r>
              <w:rPr>
                <w:rFonts w:eastAsia="宋体"/>
              </w:rPr>
              <w:t>6</w:t>
            </w:r>
          </w:p>
        </w:tc>
      </w:tr>
      <w:tr w:rsidR="0008775A">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8775A" w:rsidRDefault="0008775A">
            <w:pPr>
              <w:pStyle w:val="TAC"/>
              <w:rPr>
                <w:b/>
                <w:sz w:val="32"/>
              </w:rPr>
            </w:pPr>
          </w:p>
        </w:tc>
        <w:tc>
          <w:tcPr>
            <w:tcW w:w="5881" w:type="dxa"/>
            <w:tcBorders>
              <w:top w:val="nil"/>
              <w:left w:val="nil"/>
              <w:bottom w:val="single" w:sz="8" w:space="0" w:color="auto"/>
              <w:right w:val="single" w:sz="8" w:space="0" w:color="auto"/>
            </w:tcBorders>
            <w:shd w:val="clear" w:color="auto" w:fill="auto"/>
          </w:tcPr>
          <w:p w:rsidR="0008775A" w:rsidRDefault="009771F4">
            <w:pPr>
              <w:pStyle w:val="TAC"/>
            </w:pPr>
            <w:r>
              <w:t>Minimum/Typical Total delay [</w:t>
            </w:r>
            <w:proofErr w:type="spellStart"/>
            <w:r>
              <w:t>ms</w:t>
            </w:r>
            <w:proofErr w:type="spellEnd"/>
            <w:r>
              <w:t xml:space="preserve">] </w:t>
            </w:r>
          </w:p>
        </w:tc>
        <w:tc>
          <w:tcPr>
            <w:tcW w:w="1035" w:type="dxa"/>
            <w:tcBorders>
              <w:top w:val="nil"/>
              <w:left w:val="nil"/>
              <w:bottom w:val="single" w:sz="8" w:space="0" w:color="auto"/>
              <w:right w:val="single" w:sz="8" w:space="0" w:color="auto"/>
            </w:tcBorders>
            <w:shd w:val="clear" w:color="auto" w:fill="auto"/>
          </w:tcPr>
          <w:p w:rsidR="0008775A" w:rsidRDefault="009771F4">
            <w:pPr>
              <w:pStyle w:val="TAC"/>
            </w:pPr>
            <w:r>
              <w:t>45.5/49.5</w:t>
            </w:r>
          </w:p>
        </w:tc>
      </w:tr>
    </w:tbl>
    <w:p w:rsidR="0008775A" w:rsidRDefault="001575D1" w:rsidP="00AF5A71">
      <w:pPr>
        <w:jc w:val="center"/>
        <w:rPr>
          <w:b/>
        </w:rPr>
      </w:pPr>
      <w:r>
        <w:rPr>
          <w:b/>
        </w:rPr>
        <w:t>T</w:t>
      </w:r>
      <w:r>
        <w:rPr>
          <w:rFonts w:hint="eastAsia"/>
          <w:b/>
        </w:rPr>
        <w:t xml:space="preserve">able </w:t>
      </w:r>
      <w:r>
        <w:rPr>
          <w:b/>
        </w:rPr>
        <w:t>1</w:t>
      </w:r>
    </w:p>
    <w:p w:rsidR="0008775A" w:rsidRDefault="009771F4">
      <w:pPr>
        <w:rPr>
          <w:rFonts w:eastAsia="宋体"/>
          <w:bCs/>
        </w:rPr>
      </w:pPr>
      <w:r>
        <w:rPr>
          <w:rFonts w:eastAsia="宋体" w:hint="eastAsia"/>
          <w:bCs/>
        </w:rPr>
        <w:t>Per 36.881</w:t>
      </w:r>
      <w:r>
        <w:rPr>
          <w:rFonts w:eastAsia="宋体" w:hint="eastAsia"/>
          <w:bCs/>
        </w:rPr>
        <w:fldChar w:fldCharType="begin"/>
      </w:r>
      <w:r>
        <w:rPr>
          <w:rFonts w:eastAsia="宋体" w:hint="eastAsia"/>
          <w:bCs/>
        </w:rPr>
        <w:instrText xml:space="preserve"> REF _Ref21279 \n \h </w:instrText>
      </w:r>
      <w:r>
        <w:rPr>
          <w:rFonts w:eastAsia="宋体" w:hint="eastAsia"/>
          <w:bCs/>
        </w:rPr>
      </w:r>
      <w:r>
        <w:rPr>
          <w:rFonts w:eastAsia="宋体" w:hint="eastAsia"/>
          <w:bCs/>
        </w:rPr>
        <w:fldChar w:fldCharType="separate"/>
      </w:r>
      <w:r>
        <w:rPr>
          <w:rFonts w:eastAsia="宋体" w:hint="eastAsia"/>
          <w:bCs/>
        </w:rPr>
        <w:t>[2]</w:t>
      </w:r>
      <w:r>
        <w:rPr>
          <w:rFonts w:eastAsia="宋体" w:hint="eastAsia"/>
          <w:bCs/>
        </w:rPr>
        <w:fldChar w:fldCharType="end"/>
      </w:r>
      <w:r>
        <w:rPr>
          <w:rFonts w:eastAsia="宋体" w:hint="eastAsia"/>
          <w:bCs/>
        </w:rPr>
        <w:t xml:space="preserve">, the components of handover interruption in typical LTE HO is visualized in Figure 1. And the minimum/typical latency of each component is summarized in Table 1. Given that, the total handover interruption in typical LTE HO is 45.5/49.5 </w:t>
      </w:r>
      <w:proofErr w:type="spellStart"/>
      <w:r>
        <w:rPr>
          <w:rFonts w:eastAsia="宋体" w:hint="eastAsia"/>
          <w:bCs/>
        </w:rPr>
        <w:t>ms.</w:t>
      </w:r>
      <w:proofErr w:type="spellEnd"/>
    </w:p>
    <w:p w:rsidR="0008775A" w:rsidRDefault="009771F4" w:rsidP="001575D1">
      <w:r>
        <w:rPr>
          <w:rFonts w:eastAsia="宋体" w:hint="eastAsia"/>
          <w:bCs/>
        </w:rPr>
        <w:t xml:space="preserve">A WI for further mobility enhancements in LTE </w:t>
      </w:r>
      <w:r>
        <w:rPr>
          <w:rFonts w:eastAsia="宋体" w:hint="eastAsia"/>
          <w:bCs/>
        </w:rPr>
        <w:fldChar w:fldCharType="begin"/>
      </w:r>
      <w:r>
        <w:rPr>
          <w:rFonts w:eastAsia="宋体" w:hint="eastAsia"/>
          <w:bCs/>
        </w:rPr>
        <w:instrText xml:space="preserve"> REF _Ref14311 \n \h </w:instrText>
      </w:r>
      <w:r>
        <w:rPr>
          <w:rFonts w:eastAsia="宋体" w:hint="eastAsia"/>
          <w:bCs/>
        </w:rPr>
      </w:r>
      <w:r>
        <w:rPr>
          <w:rFonts w:eastAsia="宋体" w:hint="eastAsia"/>
          <w:bCs/>
        </w:rPr>
        <w:fldChar w:fldCharType="separate"/>
      </w:r>
      <w:r>
        <w:rPr>
          <w:rFonts w:eastAsia="宋体" w:hint="eastAsia"/>
          <w:bCs/>
        </w:rPr>
        <w:t>[3]</w:t>
      </w:r>
      <w:r>
        <w:rPr>
          <w:rFonts w:eastAsia="宋体" w:hint="eastAsia"/>
          <w:bCs/>
        </w:rPr>
        <w:fldChar w:fldCharType="end"/>
      </w:r>
      <w:r>
        <w:rPr>
          <w:rFonts w:eastAsia="宋体" w:hint="eastAsia"/>
          <w:bCs/>
        </w:rPr>
        <w:t xml:space="preserve"> </w:t>
      </w:r>
      <w:r>
        <w:rPr>
          <w:rFonts w:eastAsia="宋体"/>
          <w:bCs/>
        </w:rPr>
        <w:t>was established</w:t>
      </w:r>
      <w:r>
        <w:rPr>
          <w:rFonts w:eastAsia="宋体" w:hint="eastAsia"/>
          <w:bCs/>
        </w:rPr>
        <w:t xml:space="preserve"> in LTE R14. Two solutions, Make-Before-Break (MBB) and RACH-less handover </w:t>
      </w:r>
      <w:r>
        <w:rPr>
          <w:rFonts w:eastAsia="宋体"/>
          <w:bCs/>
        </w:rPr>
        <w:t>we</w:t>
      </w:r>
      <w:r>
        <w:rPr>
          <w:rFonts w:eastAsia="宋体" w:hint="eastAsia"/>
          <w:bCs/>
        </w:rPr>
        <w:t xml:space="preserve">re introduced to reduce the handover interruption time. With the adoption of MBB, the </w:t>
      </w:r>
      <w:r>
        <w:t>connection to the source cell is maintained</w:t>
      </w:r>
      <w:r>
        <w:rPr>
          <w:rFonts w:hint="eastAsia"/>
        </w:rPr>
        <w:t xml:space="preserve"> with the reception of HO command until the </w:t>
      </w:r>
      <w:r>
        <w:t>UE executes initial uplink transmission</w:t>
      </w:r>
      <w:r w:rsidR="00000510">
        <w:t>/reception</w:t>
      </w:r>
      <w:r>
        <w:t xml:space="preserve"> to</w:t>
      </w:r>
      <w:r w:rsidR="00000510">
        <w:t>/from</w:t>
      </w:r>
      <w:r>
        <w:t xml:space="preserve"> the target cell</w:t>
      </w:r>
      <w:r>
        <w:rPr>
          <w:rFonts w:hint="eastAsia"/>
        </w:rPr>
        <w:t xml:space="preserve">. So </w:t>
      </w:r>
      <w:r>
        <w:rPr>
          <w:rFonts w:eastAsia="宋体" w:hint="eastAsia"/>
          <w:bCs/>
        </w:rPr>
        <w:t>the latency of the RRC procedure delay (i.e. the latency in step7) is considered to be 0ms in MBB</w:t>
      </w:r>
      <w:r>
        <w:rPr>
          <w:rFonts w:hint="eastAsia"/>
        </w:rPr>
        <w:t xml:space="preserve">. </w:t>
      </w:r>
      <w:r w:rsidR="001575D1">
        <w:t>UE will re-establish user plane immediately before UE turn</w:t>
      </w:r>
      <w:r w:rsidR="00FA1709">
        <w:t>s</w:t>
      </w:r>
      <w:r w:rsidR="001575D1">
        <w:t xml:space="preserve"> to target cell and by proper software design it could be done in parallel with data transmission/reception in source side i.e. it could be 0ms also. The</w:t>
      </w:r>
      <w:r>
        <w:rPr>
          <w:rFonts w:hint="eastAsia"/>
        </w:rPr>
        <w:t xml:space="preserve"> </w:t>
      </w:r>
      <w:proofErr w:type="spellStart"/>
      <w:r>
        <w:rPr>
          <w:rFonts w:hint="eastAsia"/>
        </w:rPr>
        <w:t>T</w:t>
      </w:r>
      <w:r>
        <w:rPr>
          <w:rFonts w:hint="eastAsia"/>
          <w:vertAlign w:val="subscript"/>
        </w:rPr>
        <w:t>UE_process</w:t>
      </w:r>
      <w:proofErr w:type="spellEnd"/>
      <w:r>
        <w:rPr>
          <w:rFonts w:hint="eastAsia"/>
          <w:vertAlign w:val="subscript"/>
        </w:rPr>
        <w:t xml:space="preserve"> </w:t>
      </w:r>
      <w:r>
        <w:rPr>
          <w:rFonts w:hint="eastAsia"/>
        </w:rPr>
        <w:t xml:space="preserve">can be reduced </w:t>
      </w:r>
      <w:r>
        <w:t>down to</w:t>
      </w:r>
      <w:r>
        <w:rPr>
          <w:rFonts w:hint="eastAsia"/>
        </w:rPr>
        <w:t xml:space="preserve"> 5ms within R14 time frame </w:t>
      </w:r>
      <w:r>
        <w:rPr>
          <w:rFonts w:hint="eastAsia"/>
        </w:rPr>
        <w:fldChar w:fldCharType="begin"/>
      </w:r>
      <w:r>
        <w:rPr>
          <w:rFonts w:hint="eastAsia"/>
        </w:rPr>
        <w:instrText xml:space="preserve"> REF _Ref21406 \n \h </w:instrText>
      </w:r>
      <w:r>
        <w:rPr>
          <w:rFonts w:hint="eastAsia"/>
        </w:rPr>
      </w:r>
      <w:r>
        <w:rPr>
          <w:rFonts w:hint="eastAsia"/>
        </w:rPr>
        <w:fldChar w:fldCharType="separate"/>
      </w:r>
      <w:r>
        <w:rPr>
          <w:rFonts w:hint="eastAsia"/>
        </w:rPr>
        <w:t>[4]</w:t>
      </w:r>
      <w:r>
        <w:rPr>
          <w:rFonts w:hint="eastAsia"/>
        </w:rPr>
        <w:fldChar w:fldCharType="end"/>
      </w:r>
      <w:r w:rsidR="001575D1">
        <w:t>. Our understanding is that in theory it could be 0ms too if e.g. source cell and target cell is completely synchronized</w:t>
      </w:r>
      <w:r w:rsidR="00FA1709">
        <w:t xml:space="preserve"> with same bandwidth</w:t>
      </w:r>
      <w:r w:rsidR="001575D1">
        <w:t xml:space="preserve"> and thus no RF turning is needed for intra-frequency case at least</w:t>
      </w:r>
      <w:r>
        <w:rPr>
          <w:rFonts w:hint="eastAsia"/>
        </w:rPr>
        <w:t>.</w:t>
      </w:r>
      <w:r w:rsidR="001575D1">
        <w:t xml:space="preserve"> </w:t>
      </w:r>
      <w:r w:rsidR="00B72360">
        <w:t>C</w:t>
      </w:r>
      <w:r w:rsidR="001575D1">
        <w:t>urrent 5ms was relaxed to simplify the RF design of UE</w:t>
      </w:r>
      <w:r w:rsidR="00D540F7">
        <w:t>, so maybe some note could be added to clarify how 0ms could be achieved</w:t>
      </w:r>
      <w:r w:rsidR="001575D1">
        <w:t>.</w:t>
      </w:r>
      <w:r>
        <w:rPr>
          <w:rFonts w:hint="eastAsia"/>
        </w:rPr>
        <w:t xml:space="preserve"> </w:t>
      </w:r>
      <w:r w:rsidR="00B72360">
        <w:t xml:space="preserve">Furthermore </w:t>
      </w:r>
      <w:r>
        <w:rPr>
          <w:rFonts w:hint="eastAsia"/>
        </w:rPr>
        <w:t>with the adoption of R</w:t>
      </w:r>
      <w:r>
        <w:t xml:space="preserve">ACH-less </w:t>
      </w:r>
      <w:r>
        <w:rPr>
          <w:rFonts w:hint="eastAsia"/>
        </w:rPr>
        <w:t>handover</w:t>
      </w:r>
      <w:r>
        <w:t xml:space="preserve">, the UE </w:t>
      </w:r>
      <w:r w:rsidR="006D5967">
        <w:t xml:space="preserve">could </w:t>
      </w:r>
      <w:r>
        <w:t>accesse</w:t>
      </w:r>
      <w:r w:rsidR="0092327F">
        <w:t>s</w:t>
      </w:r>
      <w:r>
        <w:t xml:space="preserve"> the target</w:t>
      </w:r>
      <w:r w:rsidR="0092327F">
        <w:t xml:space="preserve"> cell</w:t>
      </w:r>
      <w:r>
        <w:t xml:space="preserve"> via the uplink grant pre-allocated </w:t>
      </w:r>
      <w:r>
        <w:rPr>
          <w:rFonts w:hint="eastAsia"/>
        </w:rPr>
        <w:t xml:space="preserve">in the HO </w:t>
      </w:r>
      <w:proofErr w:type="gramStart"/>
      <w:r>
        <w:rPr>
          <w:rFonts w:hint="eastAsia"/>
        </w:rPr>
        <w:t>command ,</w:t>
      </w:r>
      <w:proofErr w:type="gramEnd"/>
      <w:r>
        <w:rPr>
          <w:rFonts w:hint="eastAsia"/>
        </w:rPr>
        <w:t xml:space="preserve"> </w:t>
      </w:r>
      <w:r w:rsidR="00FA3453">
        <w:t>So the processing time in step 9.3,9.4 and 10 could be skipped. The RRC Connection Reconfiguration Complete will be ready and sent within the pre-allocated uplink grant, therefore processing time in step 11 could be skipped too.</w:t>
      </w:r>
    </w:p>
    <w:p w:rsidR="0008775A" w:rsidRDefault="0008775A">
      <w:pPr>
        <w:jc w:val="center"/>
      </w:pPr>
    </w:p>
    <w:tbl>
      <w:tblPr>
        <w:tblW w:w="8183" w:type="dxa"/>
        <w:jc w:val="center"/>
        <w:tblLayout w:type="fixed"/>
        <w:tblLook w:val="04A0" w:firstRow="1" w:lastRow="0" w:firstColumn="1" w:lastColumn="0" w:noHBand="0" w:noVBand="1"/>
      </w:tblPr>
      <w:tblGrid>
        <w:gridCol w:w="1267"/>
        <w:gridCol w:w="5881"/>
        <w:gridCol w:w="1035"/>
      </w:tblGrid>
      <w:tr w:rsidR="00A144AF" w:rsidTr="00B55187">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vAlign w:val="bottom"/>
          </w:tcPr>
          <w:p w:rsidR="00A144AF" w:rsidRDefault="00A144AF" w:rsidP="00B55187">
            <w:pPr>
              <w:pStyle w:val="TAH"/>
            </w:pPr>
            <w:r>
              <w:lastRenderedPageBreak/>
              <w:t>Component/ Step</w:t>
            </w:r>
          </w:p>
        </w:tc>
        <w:tc>
          <w:tcPr>
            <w:tcW w:w="5881" w:type="dxa"/>
            <w:tcBorders>
              <w:top w:val="single" w:sz="8" w:space="0" w:color="auto"/>
              <w:left w:val="nil"/>
              <w:bottom w:val="single" w:sz="8" w:space="0" w:color="auto"/>
              <w:right w:val="single" w:sz="8" w:space="0" w:color="auto"/>
            </w:tcBorders>
            <w:shd w:val="clear" w:color="auto" w:fill="auto"/>
            <w:vAlign w:val="bottom"/>
          </w:tcPr>
          <w:p w:rsidR="00A144AF" w:rsidRDefault="00A144AF" w:rsidP="00B55187">
            <w:pPr>
              <w:pStyle w:val="TAH"/>
            </w:pPr>
            <w:r>
              <w:t>Description</w:t>
            </w:r>
          </w:p>
        </w:tc>
        <w:tc>
          <w:tcPr>
            <w:tcW w:w="1035" w:type="dxa"/>
            <w:tcBorders>
              <w:top w:val="single" w:sz="8" w:space="0" w:color="auto"/>
              <w:left w:val="nil"/>
              <w:bottom w:val="single" w:sz="8" w:space="0" w:color="auto"/>
              <w:right w:val="single" w:sz="8" w:space="0" w:color="auto"/>
            </w:tcBorders>
            <w:shd w:val="clear" w:color="auto" w:fill="auto"/>
            <w:vAlign w:val="bottom"/>
          </w:tcPr>
          <w:p w:rsidR="00A144AF" w:rsidRDefault="00A144AF" w:rsidP="00B55187">
            <w:pPr>
              <w:pStyle w:val="TAH"/>
            </w:pPr>
            <w:r>
              <w:t>Time (</w:t>
            </w:r>
            <w:proofErr w:type="spellStart"/>
            <w:r>
              <w:t>ms</w:t>
            </w:r>
            <w:proofErr w:type="spellEnd"/>
            <w:r>
              <w:t>)</w:t>
            </w:r>
          </w:p>
        </w:tc>
      </w:tr>
      <w:tr w:rsidR="00A144AF" w:rsidTr="00B55187">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A144AF" w:rsidRDefault="00A144AF" w:rsidP="00B55187">
            <w:pPr>
              <w:pStyle w:val="TAC"/>
              <w:rPr>
                <w:rFonts w:eastAsia="宋体"/>
              </w:rPr>
            </w:pPr>
            <w:r>
              <w:rPr>
                <w:rFonts w:eastAsia="宋体"/>
              </w:rPr>
              <w:t>7</w:t>
            </w:r>
          </w:p>
        </w:tc>
        <w:tc>
          <w:tcPr>
            <w:tcW w:w="5881" w:type="dxa"/>
            <w:tcBorders>
              <w:top w:val="nil"/>
              <w:left w:val="nil"/>
              <w:bottom w:val="single" w:sz="8" w:space="0" w:color="auto"/>
              <w:right w:val="single" w:sz="8" w:space="0" w:color="auto"/>
            </w:tcBorders>
            <w:shd w:val="clear" w:color="auto" w:fill="auto"/>
          </w:tcPr>
          <w:p w:rsidR="00A144AF" w:rsidRDefault="00A144AF" w:rsidP="00B55187">
            <w:pPr>
              <w:pStyle w:val="TAC"/>
              <w:rPr>
                <w:rFonts w:eastAsia="宋体"/>
              </w:rPr>
            </w:pPr>
            <w:r>
              <w:t xml:space="preserve">RRC Connection Reconfiguration Incl. </w:t>
            </w:r>
            <w:proofErr w:type="spellStart"/>
            <w:r>
              <w:rPr>
                <w:i/>
              </w:rPr>
              <w:t>mobilityControlInfo</w:t>
            </w:r>
            <w:proofErr w:type="spellEnd"/>
          </w:p>
        </w:tc>
        <w:tc>
          <w:tcPr>
            <w:tcW w:w="1035" w:type="dxa"/>
            <w:tcBorders>
              <w:top w:val="nil"/>
              <w:left w:val="nil"/>
              <w:bottom w:val="single" w:sz="8" w:space="0" w:color="auto"/>
              <w:right w:val="single" w:sz="8" w:space="0" w:color="auto"/>
            </w:tcBorders>
            <w:shd w:val="clear" w:color="auto" w:fill="auto"/>
          </w:tcPr>
          <w:p w:rsidR="00A144AF" w:rsidRDefault="00452E65" w:rsidP="00B55187">
            <w:pPr>
              <w:pStyle w:val="TAC"/>
              <w:rPr>
                <w:rFonts w:eastAsia="宋体"/>
              </w:rPr>
            </w:pPr>
            <w:r>
              <w:rPr>
                <w:rFonts w:eastAsia="宋体"/>
              </w:rPr>
              <w:t>0</w:t>
            </w:r>
          </w:p>
        </w:tc>
      </w:tr>
      <w:tr w:rsidR="00A144AF" w:rsidTr="00B55187">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A144AF" w:rsidRDefault="00A144AF" w:rsidP="00B55187">
            <w:pPr>
              <w:pStyle w:val="TAC"/>
              <w:rPr>
                <w:rFonts w:eastAsia="宋体"/>
              </w:rPr>
            </w:pPr>
            <w:r>
              <w:rPr>
                <w:rFonts w:eastAsia="宋体"/>
              </w:rPr>
              <w:t>8</w:t>
            </w:r>
          </w:p>
        </w:tc>
        <w:tc>
          <w:tcPr>
            <w:tcW w:w="5881" w:type="dxa"/>
            <w:tcBorders>
              <w:top w:val="nil"/>
              <w:left w:val="nil"/>
              <w:bottom w:val="single" w:sz="8" w:space="0" w:color="auto"/>
              <w:right w:val="single" w:sz="8" w:space="0" w:color="auto"/>
            </w:tcBorders>
            <w:shd w:val="clear" w:color="auto" w:fill="auto"/>
          </w:tcPr>
          <w:p w:rsidR="00A144AF" w:rsidRDefault="00A144AF" w:rsidP="00B55187">
            <w:pPr>
              <w:pStyle w:val="TAC"/>
              <w:rPr>
                <w:rFonts w:eastAsia="宋体"/>
              </w:rPr>
            </w:pPr>
            <w:r>
              <w:t>SN Status Transfer</w:t>
            </w:r>
          </w:p>
        </w:tc>
        <w:tc>
          <w:tcPr>
            <w:tcW w:w="1035" w:type="dxa"/>
            <w:tcBorders>
              <w:top w:val="nil"/>
              <w:left w:val="nil"/>
              <w:bottom w:val="single" w:sz="8" w:space="0" w:color="auto"/>
              <w:right w:val="single" w:sz="8" w:space="0" w:color="auto"/>
            </w:tcBorders>
            <w:shd w:val="clear" w:color="auto" w:fill="auto"/>
          </w:tcPr>
          <w:p w:rsidR="00A144AF" w:rsidRDefault="00A144AF" w:rsidP="00B55187">
            <w:pPr>
              <w:pStyle w:val="TAC"/>
              <w:rPr>
                <w:rFonts w:eastAsia="宋体"/>
              </w:rPr>
            </w:pPr>
            <w:r>
              <w:rPr>
                <w:rFonts w:eastAsia="宋体"/>
              </w:rPr>
              <w:t>0</w:t>
            </w:r>
          </w:p>
        </w:tc>
      </w:tr>
      <w:tr w:rsidR="00A144AF" w:rsidTr="00B55187">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A144AF" w:rsidRDefault="00A144AF" w:rsidP="00B55187">
            <w:pPr>
              <w:pStyle w:val="TAC"/>
              <w:rPr>
                <w:rFonts w:eastAsia="宋体"/>
              </w:rPr>
            </w:pPr>
            <w:r>
              <w:rPr>
                <w:rFonts w:eastAsia="宋体"/>
              </w:rPr>
              <w:t>9.1</w:t>
            </w:r>
          </w:p>
        </w:tc>
        <w:tc>
          <w:tcPr>
            <w:tcW w:w="5881" w:type="dxa"/>
            <w:tcBorders>
              <w:top w:val="nil"/>
              <w:left w:val="nil"/>
              <w:bottom w:val="single" w:sz="8" w:space="0" w:color="auto"/>
              <w:right w:val="single" w:sz="8" w:space="0" w:color="auto"/>
            </w:tcBorders>
            <w:shd w:val="clear" w:color="auto" w:fill="auto"/>
          </w:tcPr>
          <w:p w:rsidR="00A144AF" w:rsidRDefault="00A144AF" w:rsidP="00B55187">
            <w:pPr>
              <w:pStyle w:val="TAC"/>
              <w:rPr>
                <w:rFonts w:eastAsia="宋体"/>
              </w:rPr>
            </w:pPr>
            <w:r>
              <w:t>Target cell search</w:t>
            </w:r>
          </w:p>
        </w:tc>
        <w:tc>
          <w:tcPr>
            <w:tcW w:w="1035" w:type="dxa"/>
            <w:tcBorders>
              <w:top w:val="nil"/>
              <w:left w:val="nil"/>
              <w:bottom w:val="single" w:sz="8" w:space="0" w:color="auto"/>
              <w:right w:val="single" w:sz="8" w:space="0" w:color="auto"/>
            </w:tcBorders>
            <w:shd w:val="clear" w:color="auto" w:fill="auto"/>
          </w:tcPr>
          <w:p w:rsidR="00A144AF" w:rsidRDefault="00A144AF" w:rsidP="00B55187">
            <w:pPr>
              <w:pStyle w:val="TAC"/>
              <w:rPr>
                <w:rFonts w:eastAsia="宋体"/>
              </w:rPr>
            </w:pPr>
            <w:r>
              <w:rPr>
                <w:rFonts w:eastAsia="宋体"/>
              </w:rPr>
              <w:t>0</w:t>
            </w:r>
          </w:p>
        </w:tc>
      </w:tr>
      <w:tr w:rsidR="00A144AF" w:rsidTr="00B55187">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A144AF" w:rsidRDefault="00A144AF" w:rsidP="00B55187">
            <w:pPr>
              <w:pStyle w:val="TAC"/>
              <w:rPr>
                <w:rFonts w:eastAsia="宋体"/>
              </w:rPr>
            </w:pPr>
            <w:r>
              <w:rPr>
                <w:rFonts w:eastAsia="宋体"/>
              </w:rPr>
              <w:t>9.2</w:t>
            </w:r>
          </w:p>
        </w:tc>
        <w:tc>
          <w:tcPr>
            <w:tcW w:w="5881" w:type="dxa"/>
            <w:tcBorders>
              <w:top w:val="nil"/>
              <w:left w:val="nil"/>
              <w:bottom w:val="single" w:sz="8" w:space="0" w:color="auto"/>
              <w:right w:val="single" w:sz="8" w:space="0" w:color="auto"/>
            </w:tcBorders>
            <w:shd w:val="clear" w:color="auto" w:fill="auto"/>
          </w:tcPr>
          <w:p w:rsidR="00A144AF" w:rsidRDefault="00A144AF" w:rsidP="00B55187">
            <w:pPr>
              <w:pStyle w:val="TAC"/>
              <w:rPr>
                <w:rFonts w:eastAsia="宋体"/>
              </w:rPr>
            </w:pPr>
            <w:r>
              <w:t>UE processing time for RF/baseband re-tuning, security update</w:t>
            </w:r>
          </w:p>
        </w:tc>
        <w:tc>
          <w:tcPr>
            <w:tcW w:w="1035" w:type="dxa"/>
            <w:tcBorders>
              <w:top w:val="nil"/>
              <w:left w:val="nil"/>
              <w:bottom w:val="single" w:sz="8" w:space="0" w:color="auto"/>
              <w:right w:val="single" w:sz="8" w:space="0" w:color="auto"/>
            </w:tcBorders>
            <w:shd w:val="clear" w:color="auto" w:fill="auto"/>
          </w:tcPr>
          <w:p w:rsidR="00A144AF" w:rsidRDefault="00452E65" w:rsidP="00B55187">
            <w:pPr>
              <w:pStyle w:val="TAC"/>
              <w:rPr>
                <w:rFonts w:eastAsia="宋体"/>
              </w:rPr>
            </w:pPr>
            <w:r>
              <w:rPr>
                <w:rFonts w:eastAsia="宋体"/>
              </w:rPr>
              <w:t>0</w:t>
            </w:r>
          </w:p>
        </w:tc>
      </w:tr>
      <w:tr w:rsidR="00A144AF" w:rsidTr="00B55187">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A144AF" w:rsidRDefault="00A144AF" w:rsidP="00B55187">
            <w:pPr>
              <w:pStyle w:val="TAC"/>
              <w:rPr>
                <w:rFonts w:eastAsia="宋体"/>
              </w:rPr>
            </w:pPr>
            <w:r>
              <w:rPr>
                <w:rFonts w:eastAsia="宋体"/>
              </w:rPr>
              <w:t>9.3</w:t>
            </w:r>
          </w:p>
        </w:tc>
        <w:tc>
          <w:tcPr>
            <w:tcW w:w="5881" w:type="dxa"/>
            <w:tcBorders>
              <w:top w:val="nil"/>
              <w:left w:val="nil"/>
              <w:bottom w:val="single" w:sz="8" w:space="0" w:color="auto"/>
              <w:right w:val="single" w:sz="8" w:space="0" w:color="auto"/>
            </w:tcBorders>
            <w:shd w:val="clear" w:color="auto" w:fill="auto"/>
          </w:tcPr>
          <w:p w:rsidR="00A144AF" w:rsidRDefault="00A144AF" w:rsidP="00B55187">
            <w:pPr>
              <w:pStyle w:val="TAC"/>
              <w:rPr>
                <w:rFonts w:eastAsia="宋体"/>
              </w:rPr>
            </w:pPr>
            <w:r>
              <w:t xml:space="preserve">Delay to acquire first available PRACH in target </w:t>
            </w:r>
            <w:proofErr w:type="spellStart"/>
            <w:r>
              <w:t>eNB</w:t>
            </w:r>
            <w:proofErr w:type="spellEnd"/>
          </w:p>
        </w:tc>
        <w:tc>
          <w:tcPr>
            <w:tcW w:w="1035" w:type="dxa"/>
            <w:tcBorders>
              <w:top w:val="nil"/>
              <w:left w:val="nil"/>
              <w:bottom w:val="single" w:sz="8" w:space="0" w:color="auto"/>
              <w:right w:val="single" w:sz="8" w:space="0" w:color="auto"/>
            </w:tcBorders>
            <w:shd w:val="clear" w:color="auto" w:fill="auto"/>
          </w:tcPr>
          <w:p w:rsidR="00A144AF" w:rsidRDefault="00452E65" w:rsidP="00B55187">
            <w:pPr>
              <w:pStyle w:val="TAC"/>
              <w:rPr>
                <w:rFonts w:eastAsia="宋体"/>
              </w:rPr>
            </w:pPr>
            <w:r>
              <w:rPr>
                <w:rFonts w:eastAsia="宋体"/>
              </w:rPr>
              <w:t>0</w:t>
            </w:r>
          </w:p>
        </w:tc>
      </w:tr>
      <w:tr w:rsidR="00A144AF" w:rsidTr="00B55187">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A144AF" w:rsidRDefault="00A144AF" w:rsidP="00B55187">
            <w:pPr>
              <w:pStyle w:val="TAC"/>
              <w:rPr>
                <w:rFonts w:eastAsia="宋体"/>
              </w:rPr>
            </w:pPr>
            <w:r>
              <w:rPr>
                <w:rFonts w:eastAsia="宋体"/>
              </w:rPr>
              <w:t>9.4</w:t>
            </w:r>
          </w:p>
        </w:tc>
        <w:tc>
          <w:tcPr>
            <w:tcW w:w="5881" w:type="dxa"/>
            <w:tcBorders>
              <w:top w:val="nil"/>
              <w:left w:val="nil"/>
              <w:bottom w:val="single" w:sz="8" w:space="0" w:color="auto"/>
              <w:right w:val="single" w:sz="8" w:space="0" w:color="auto"/>
            </w:tcBorders>
            <w:shd w:val="clear" w:color="auto" w:fill="auto"/>
          </w:tcPr>
          <w:p w:rsidR="00A144AF" w:rsidRDefault="00A144AF" w:rsidP="00B55187">
            <w:pPr>
              <w:pStyle w:val="TAC"/>
              <w:rPr>
                <w:rFonts w:eastAsia="宋体"/>
              </w:rPr>
            </w:pPr>
            <w:r>
              <w:t>PRACH preamble transmission</w:t>
            </w:r>
          </w:p>
        </w:tc>
        <w:tc>
          <w:tcPr>
            <w:tcW w:w="1035" w:type="dxa"/>
            <w:tcBorders>
              <w:top w:val="nil"/>
              <w:left w:val="nil"/>
              <w:bottom w:val="single" w:sz="8" w:space="0" w:color="auto"/>
              <w:right w:val="single" w:sz="8" w:space="0" w:color="auto"/>
            </w:tcBorders>
            <w:shd w:val="clear" w:color="auto" w:fill="auto"/>
          </w:tcPr>
          <w:p w:rsidR="00A144AF" w:rsidRDefault="00452E65" w:rsidP="00B55187">
            <w:pPr>
              <w:pStyle w:val="TAC"/>
              <w:rPr>
                <w:rFonts w:eastAsia="宋体"/>
              </w:rPr>
            </w:pPr>
            <w:r>
              <w:rPr>
                <w:rFonts w:eastAsia="宋体"/>
              </w:rPr>
              <w:t>0</w:t>
            </w:r>
          </w:p>
        </w:tc>
      </w:tr>
      <w:tr w:rsidR="00A144AF" w:rsidTr="00B55187">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A144AF" w:rsidRDefault="00A144AF" w:rsidP="00B55187">
            <w:pPr>
              <w:pStyle w:val="TAC"/>
              <w:rPr>
                <w:rFonts w:eastAsia="宋体"/>
              </w:rPr>
            </w:pPr>
            <w:r>
              <w:rPr>
                <w:rFonts w:eastAsia="宋体"/>
              </w:rPr>
              <w:t>10</w:t>
            </w:r>
          </w:p>
        </w:tc>
        <w:tc>
          <w:tcPr>
            <w:tcW w:w="5881" w:type="dxa"/>
            <w:tcBorders>
              <w:top w:val="nil"/>
              <w:left w:val="nil"/>
              <w:bottom w:val="single" w:sz="8" w:space="0" w:color="auto"/>
              <w:right w:val="single" w:sz="8" w:space="0" w:color="auto"/>
            </w:tcBorders>
            <w:shd w:val="clear" w:color="auto" w:fill="auto"/>
          </w:tcPr>
          <w:p w:rsidR="00A144AF" w:rsidRDefault="00A144AF" w:rsidP="00B55187">
            <w:pPr>
              <w:pStyle w:val="TAC"/>
              <w:rPr>
                <w:rFonts w:eastAsia="宋体"/>
              </w:rPr>
            </w:pPr>
            <w:r>
              <w:t>UL Allocation + TA for UE</w:t>
            </w:r>
          </w:p>
        </w:tc>
        <w:tc>
          <w:tcPr>
            <w:tcW w:w="1035" w:type="dxa"/>
            <w:tcBorders>
              <w:top w:val="nil"/>
              <w:left w:val="nil"/>
              <w:bottom w:val="single" w:sz="8" w:space="0" w:color="auto"/>
              <w:right w:val="single" w:sz="8" w:space="0" w:color="auto"/>
            </w:tcBorders>
            <w:shd w:val="clear" w:color="auto" w:fill="auto"/>
          </w:tcPr>
          <w:p w:rsidR="00A144AF" w:rsidRDefault="00452E65" w:rsidP="00B55187">
            <w:pPr>
              <w:pStyle w:val="TAC"/>
              <w:rPr>
                <w:rFonts w:eastAsia="宋体"/>
              </w:rPr>
            </w:pPr>
            <w:r>
              <w:rPr>
                <w:rFonts w:eastAsia="宋体"/>
              </w:rPr>
              <w:t>0</w:t>
            </w:r>
          </w:p>
        </w:tc>
      </w:tr>
      <w:tr w:rsidR="00A144AF" w:rsidTr="00B55187">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A144AF" w:rsidRDefault="00A144AF" w:rsidP="00B55187">
            <w:pPr>
              <w:pStyle w:val="TAC"/>
              <w:rPr>
                <w:rFonts w:eastAsia="宋体"/>
              </w:rPr>
            </w:pPr>
            <w:r>
              <w:rPr>
                <w:rFonts w:eastAsia="宋体"/>
              </w:rPr>
              <w:t>11</w:t>
            </w:r>
          </w:p>
        </w:tc>
        <w:tc>
          <w:tcPr>
            <w:tcW w:w="5881" w:type="dxa"/>
            <w:tcBorders>
              <w:top w:val="nil"/>
              <w:left w:val="nil"/>
              <w:bottom w:val="single" w:sz="8" w:space="0" w:color="auto"/>
              <w:right w:val="single" w:sz="8" w:space="0" w:color="auto"/>
            </w:tcBorders>
            <w:shd w:val="clear" w:color="auto" w:fill="auto"/>
          </w:tcPr>
          <w:p w:rsidR="00A144AF" w:rsidRDefault="00A144AF" w:rsidP="00B55187">
            <w:pPr>
              <w:pStyle w:val="TAC"/>
            </w:pPr>
            <w:r>
              <w:t>UE sends RRC Connection Reconfiguration Complete</w:t>
            </w:r>
          </w:p>
        </w:tc>
        <w:tc>
          <w:tcPr>
            <w:tcW w:w="1035" w:type="dxa"/>
            <w:tcBorders>
              <w:top w:val="nil"/>
              <w:left w:val="nil"/>
              <w:bottom w:val="single" w:sz="8" w:space="0" w:color="auto"/>
              <w:right w:val="single" w:sz="8" w:space="0" w:color="auto"/>
            </w:tcBorders>
            <w:shd w:val="clear" w:color="auto" w:fill="auto"/>
          </w:tcPr>
          <w:p w:rsidR="00A144AF" w:rsidRDefault="00452E65" w:rsidP="00B55187">
            <w:pPr>
              <w:pStyle w:val="TAC"/>
              <w:rPr>
                <w:rFonts w:eastAsia="宋体"/>
              </w:rPr>
            </w:pPr>
            <w:r>
              <w:rPr>
                <w:rFonts w:eastAsia="宋体"/>
              </w:rPr>
              <w:t>0</w:t>
            </w:r>
          </w:p>
        </w:tc>
      </w:tr>
      <w:tr w:rsidR="00A144AF" w:rsidTr="00B55187">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A144AF" w:rsidRDefault="00A144AF" w:rsidP="00B55187">
            <w:pPr>
              <w:pStyle w:val="TAC"/>
              <w:rPr>
                <w:b/>
                <w:sz w:val="32"/>
              </w:rPr>
            </w:pPr>
          </w:p>
        </w:tc>
        <w:tc>
          <w:tcPr>
            <w:tcW w:w="5881" w:type="dxa"/>
            <w:tcBorders>
              <w:top w:val="nil"/>
              <w:left w:val="nil"/>
              <w:bottom w:val="single" w:sz="8" w:space="0" w:color="auto"/>
              <w:right w:val="single" w:sz="8" w:space="0" w:color="auto"/>
            </w:tcBorders>
            <w:shd w:val="clear" w:color="auto" w:fill="auto"/>
          </w:tcPr>
          <w:p w:rsidR="00A144AF" w:rsidRDefault="00A144AF" w:rsidP="00B55187">
            <w:pPr>
              <w:pStyle w:val="TAC"/>
            </w:pPr>
            <w:r>
              <w:t>Minimum/Typical Total delay [</w:t>
            </w:r>
            <w:proofErr w:type="spellStart"/>
            <w:r>
              <w:t>ms</w:t>
            </w:r>
            <w:proofErr w:type="spellEnd"/>
            <w:r>
              <w:t xml:space="preserve">] </w:t>
            </w:r>
          </w:p>
        </w:tc>
        <w:tc>
          <w:tcPr>
            <w:tcW w:w="1035" w:type="dxa"/>
            <w:tcBorders>
              <w:top w:val="nil"/>
              <w:left w:val="nil"/>
              <w:bottom w:val="single" w:sz="8" w:space="0" w:color="auto"/>
              <w:right w:val="single" w:sz="8" w:space="0" w:color="auto"/>
            </w:tcBorders>
            <w:shd w:val="clear" w:color="auto" w:fill="auto"/>
          </w:tcPr>
          <w:p w:rsidR="00A144AF" w:rsidRDefault="00452E65" w:rsidP="00B55187">
            <w:pPr>
              <w:pStyle w:val="TAC"/>
            </w:pPr>
            <w:r>
              <w:t>0</w:t>
            </w:r>
          </w:p>
        </w:tc>
      </w:tr>
    </w:tbl>
    <w:p w:rsidR="0008775A" w:rsidRDefault="00A144AF" w:rsidP="00AF5A71">
      <w:pPr>
        <w:jc w:val="center"/>
        <w:rPr>
          <w:b/>
        </w:rPr>
      </w:pPr>
      <w:r>
        <w:rPr>
          <w:b/>
        </w:rPr>
        <w:t>T</w:t>
      </w:r>
      <w:r>
        <w:rPr>
          <w:rFonts w:hint="eastAsia"/>
          <w:b/>
        </w:rPr>
        <w:t xml:space="preserve">able </w:t>
      </w:r>
      <w:r w:rsidR="0092327F">
        <w:rPr>
          <w:b/>
        </w:rPr>
        <w:t>2</w:t>
      </w:r>
    </w:p>
    <w:p w:rsidR="0008775A" w:rsidRDefault="009771F4">
      <w:r>
        <w:rPr>
          <w:rFonts w:hint="eastAsia"/>
        </w:rPr>
        <w:t xml:space="preserve">The MBB and RACH-less HO </w:t>
      </w:r>
      <w:r>
        <w:t xml:space="preserve">optimizations </w:t>
      </w:r>
      <w:r>
        <w:rPr>
          <w:rFonts w:hint="eastAsia"/>
        </w:rPr>
        <w:t xml:space="preserve">can be configured to the UE simultaneously. Given the above analysis, </w:t>
      </w:r>
      <w:r>
        <w:rPr>
          <w:rFonts w:eastAsia="宋体" w:hint="eastAsia"/>
          <w:bCs/>
        </w:rPr>
        <w:t>the minimum latency of each component</w:t>
      </w:r>
      <w:r>
        <w:rPr>
          <w:rFonts w:hint="eastAsia"/>
        </w:rPr>
        <w:t xml:space="preserve"> during the HO with the combination of MBB and RACH-less is summarized in Table 2. In other words, the </w:t>
      </w:r>
      <w:r>
        <w:rPr>
          <w:rFonts w:eastAsia="宋体" w:hint="eastAsia"/>
          <w:bCs/>
        </w:rPr>
        <w:t xml:space="preserve">total handover interruption in </w:t>
      </w:r>
      <w:r w:rsidR="00903237">
        <w:rPr>
          <w:rFonts w:eastAsia="宋体"/>
          <w:bCs/>
        </w:rPr>
        <w:t>LTE</w:t>
      </w:r>
      <w:r>
        <w:rPr>
          <w:rFonts w:eastAsia="宋体" w:hint="eastAsia"/>
          <w:bCs/>
        </w:rPr>
        <w:t xml:space="preserve"> can be reduced as </w:t>
      </w:r>
      <w:r w:rsidR="007C1600">
        <w:rPr>
          <w:rFonts w:eastAsia="宋体"/>
        </w:rPr>
        <w:t>0ms</w:t>
      </w:r>
      <w:r>
        <w:rPr>
          <w:rFonts w:eastAsia="宋体" w:hint="eastAsia"/>
          <w:bCs/>
        </w:rPr>
        <w:t>.</w:t>
      </w:r>
    </w:p>
    <w:p w:rsidR="0008775A" w:rsidRDefault="007C1600">
      <w:pPr>
        <w:rPr>
          <w:b/>
          <w:bCs/>
        </w:rPr>
      </w:pPr>
      <w:r>
        <w:rPr>
          <w:b/>
          <w:bCs/>
        </w:rPr>
        <w:t>Conclusion</w:t>
      </w:r>
      <w:r>
        <w:rPr>
          <w:rFonts w:hint="eastAsia"/>
          <w:b/>
          <w:bCs/>
        </w:rPr>
        <w:t xml:space="preserve"> </w:t>
      </w:r>
      <w:r w:rsidR="009771F4">
        <w:rPr>
          <w:rFonts w:hint="eastAsia"/>
          <w:b/>
          <w:bCs/>
        </w:rPr>
        <w:t xml:space="preserve">1: With the combination of MBB and RACH-less HO, the handover interruption can be reduced </w:t>
      </w:r>
      <w:r w:rsidR="009771F4">
        <w:rPr>
          <w:b/>
          <w:bCs/>
        </w:rPr>
        <w:t>down to</w:t>
      </w:r>
      <w:r w:rsidR="009771F4">
        <w:rPr>
          <w:rFonts w:hint="eastAsia"/>
          <w:b/>
          <w:bCs/>
        </w:rPr>
        <w:t xml:space="preserve"> </w:t>
      </w:r>
      <w:r>
        <w:rPr>
          <w:b/>
          <w:bCs/>
        </w:rPr>
        <w:t>0</w:t>
      </w:r>
      <w:r>
        <w:rPr>
          <w:rFonts w:hint="eastAsia"/>
          <w:b/>
          <w:bCs/>
        </w:rPr>
        <w:t xml:space="preserve">ms </w:t>
      </w:r>
      <w:r w:rsidR="009771F4">
        <w:rPr>
          <w:rFonts w:hint="eastAsia"/>
          <w:b/>
          <w:bCs/>
        </w:rPr>
        <w:t xml:space="preserve">in LTE </w:t>
      </w:r>
      <w:r w:rsidR="0092327F">
        <w:rPr>
          <w:b/>
          <w:bCs/>
        </w:rPr>
        <w:t>for intra-frequency case</w:t>
      </w:r>
    </w:p>
    <w:p w:rsidR="0008775A" w:rsidRDefault="009771F4">
      <w:r>
        <w:rPr>
          <w:rFonts w:hint="eastAsia"/>
        </w:rPr>
        <w:t xml:space="preserve">The combination of MBB and RACH-less HO is introduced only for the intra-frequency scenario. And according to the analysis in our companion contribution </w:t>
      </w:r>
      <w:r>
        <w:rPr>
          <w:rFonts w:hint="eastAsia"/>
        </w:rPr>
        <w:fldChar w:fldCharType="begin"/>
      </w:r>
      <w:r>
        <w:rPr>
          <w:rFonts w:hint="eastAsia"/>
        </w:rPr>
        <w:instrText xml:space="preserve"> REF _Ref6675 \n \h </w:instrText>
      </w:r>
      <w:r>
        <w:rPr>
          <w:rFonts w:hint="eastAsia"/>
        </w:rPr>
      </w:r>
      <w:r>
        <w:rPr>
          <w:rFonts w:hint="eastAsia"/>
        </w:rPr>
        <w:fldChar w:fldCharType="separate"/>
      </w:r>
      <w:r>
        <w:rPr>
          <w:rFonts w:hint="eastAsia"/>
        </w:rPr>
        <w:t>[5]</w:t>
      </w:r>
      <w:r>
        <w:rPr>
          <w:rFonts w:hint="eastAsia"/>
        </w:rPr>
        <w:fldChar w:fldCharType="end"/>
      </w:r>
      <w:r>
        <w:rPr>
          <w:rFonts w:hint="eastAsia"/>
        </w:rPr>
        <w:t xml:space="preserve">, the </w:t>
      </w:r>
      <w:bookmarkStart w:id="4" w:name="OLE_LINK3"/>
      <w:r>
        <w:rPr>
          <w:rFonts w:hint="eastAsia"/>
        </w:rPr>
        <w:t xml:space="preserve">RACH-less handover can also be supported in NR both for low frequencies and high frequencies with some minor changes </w:t>
      </w:r>
      <w:r>
        <w:t xml:space="preserve">to </w:t>
      </w:r>
      <w:r>
        <w:rPr>
          <w:rFonts w:hint="eastAsia"/>
        </w:rPr>
        <w:t>tak</w:t>
      </w:r>
      <w:r>
        <w:t>e</w:t>
      </w:r>
      <w:r>
        <w:rPr>
          <w:rFonts w:hint="eastAsia"/>
        </w:rPr>
        <w:t xml:space="preserve"> the beamforming property into consideration</w:t>
      </w:r>
      <w:bookmarkEnd w:id="4"/>
      <w:r>
        <w:rPr>
          <w:rFonts w:hint="eastAsia"/>
        </w:rPr>
        <w:t xml:space="preserve">. For both cases, similar as the analysis in Table 2, with the combination of MBB and RACH-less, the handover interruption time can be reduced </w:t>
      </w:r>
      <w:r w:rsidR="007C1600">
        <w:t xml:space="preserve">to 0ms at least for intra-frequency case. </w:t>
      </w:r>
    </w:p>
    <w:p w:rsidR="0008775A" w:rsidRDefault="009771F4">
      <w:pPr>
        <w:rPr>
          <w:b/>
          <w:bCs/>
        </w:rPr>
      </w:pPr>
      <w:r>
        <w:rPr>
          <w:rFonts w:hint="eastAsia"/>
          <w:b/>
          <w:bCs/>
        </w:rPr>
        <w:t xml:space="preserve">Observation </w:t>
      </w:r>
      <w:r w:rsidR="00E90E3E">
        <w:rPr>
          <w:b/>
          <w:bCs/>
        </w:rPr>
        <w:t>1</w:t>
      </w:r>
      <w:r>
        <w:rPr>
          <w:rFonts w:hint="eastAsia"/>
          <w:b/>
          <w:bCs/>
        </w:rPr>
        <w:t xml:space="preserve">: RACH-less handover can also be supported in NR both for low frequencies and high frequencies with some minor changes </w:t>
      </w:r>
      <w:r>
        <w:rPr>
          <w:b/>
          <w:bCs/>
        </w:rPr>
        <w:t xml:space="preserve">to </w:t>
      </w:r>
      <w:r>
        <w:rPr>
          <w:rFonts w:hint="eastAsia"/>
          <w:b/>
          <w:bCs/>
        </w:rPr>
        <w:t>tak</w:t>
      </w:r>
      <w:r>
        <w:rPr>
          <w:b/>
          <w:bCs/>
        </w:rPr>
        <w:t>e</w:t>
      </w:r>
      <w:r>
        <w:rPr>
          <w:rFonts w:hint="eastAsia"/>
          <w:b/>
          <w:bCs/>
        </w:rPr>
        <w:t xml:space="preserve"> the beamforming property into consideration.</w:t>
      </w:r>
    </w:p>
    <w:p w:rsidR="0008775A" w:rsidRDefault="00F644FC">
      <w:pPr>
        <w:rPr>
          <w:b/>
          <w:bCs/>
        </w:rPr>
      </w:pPr>
      <w:r>
        <w:rPr>
          <w:b/>
          <w:bCs/>
        </w:rPr>
        <w:t>Conclusion 2</w:t>
      </w:r>
      <w:r w:rsidR="009771F4">
        <w:rPr>
          <w:rFonts w:hint="eastAsia"/>
          <w:b/>
          <w:bCs/>
        </w:rPr>
        <w:t xml:space="preserve">: With the combination of MBB and RACH-less HO, in R15, the handover interruption can be reduced </w:t>
      </w:r>
      <w:r w:rsidR="009771F4">
        <w:rPr>
          <w:b/>
          <w:bCs/>
        </w:rPr>
        <w:t>down to</w:t>
      </w:r>
      <w:r w:rsidR="009771F4">
        <w:rPr>
          <w:rFonts w:hint="eastAsia"/>
          <w:b/>
          <w:bCs/>
        </w:rPr>
        <w:t xml:space="preserve"> 0</w:t>
      </w:r>
      <w:r>
        <w:rPr>
          <w:b/>
          <w:bCs/>
        </w:rPr>
        <w:t>ms</w:t>
      </w:r>
      <w:r w:rsidR="009771F4">
        <w:rPr>
          <w:rFonts w:hint="eastAsia"/>
          <w:b/>
          <w:bCs/>
        </w:rPr>
        <w:t xml:space="preserve"> for NR at least for the intra-frequency scenario. </w:t>
      </w:r>
    </w:p>
    <w:p w:rsidR="00D540F7" w:rsidRDefault="00D540F7">
      <w:r>
        <w:t>F</w:t>
      </w:r>
      <w:r w:rsidR="009771F4">
        <w:rPr>
          <w:rFonts w:hint="eastAsia"/>
        </w:rPr>
        <w:t>or the inter-frequency scenario</w:t>
      </w:r>
      <w:r>
        <w:t xml:space="preserve"> all the analysis is still valid except for step 9.2. Assuming UE is equipped </w:t>
      </w:r>
      <w:r w:rsidR="009771F4">
        <w:rPr>
          <w:rFonts w:hint="eastAsia"/>
        </w:rPr>
        <w:t xml:space="preserve">with </w:t>
      </w:r>
      <w:r>
        <w:t>2</w:t>
      </w:r>
      <w:r w:rsidR="009771F4">
        <w:rPr>
          <w:rFonts w:hint="eastAsia"/>
        </w:rPr>
        <w:t xml:space="preserve"> RX,</w:t>
      </w:r>
      <w:r>
        <w:t xml:space="preserve"> there is no </w:t>
      </w:r>
      <w:r w:rsidR="00B662E6">
        <w:t xml:space="preserve">RX </w:t>
      </w:r>
      <w:r>
        <w:t>RF tuning is needed for reception because UE can use 1 RX for source and target cell</w:t>
      </w:r>
      <w:r w:rsidR="00B662E6">
        <w:t xml:space="preserve"> respectively</w:t>
      </w:r>
      <w:r>
        <w:t>. But typical LTE UE will only have 1TX, therefore</w:t>
      </w:r>
      <w:r w:rsidR="00EF4A3F">
        <w:t xml:space="preserve"> TX</w:t>
      </w:r>
      <w:r>
        <w:t xml:space="preserve"> RF tuning time is needed for uplink transmission. If RF tuning is small enough and doesn’t prevent continuous scheduling in physical layer then such RF tuning time will not result in more than 0ms interruption time. Obviously RAN4 should be consulted with this issue. If it is acceptable to assume that UE could be equipped with 2TX, then </w:t>
      </w:r>
      <w:r w:rsidR="00EF4A3F">
        <w:t xml:space="preserve">TX </w:t>
      </w:r>
      <w:r>
        <w:t xml:space="preserve">RF tuning for uplink transmission could be also 0ms. </w:t>
      </w:r>
    </w:p>
    <w:p w:rsidR="0008775A" w:rsidRDefault="009771F4">
      <w:r>
        <w:rPr>
          <w:rFonts w:hint="eastAsia"/>
        </w:rPr>
        <w:lastRenderedPageBreak/>
        <w:t>Given the above</w:t>
      </w:r>
      <w:r w:rsidR="00EF4A3F">
        <w:t xml:space="preserve"> analysis</w:t>
      </w:r>
      <w:r>
        <w:rPr>
          <w:rFonts w:hint="eastAsia"/>
        </w:rPr>
        <w:t xml:space="preserve">, from RAN2 perspective, at least for the intra-frequency scenario, the 0ms IMT-2020 requirement can be achieved with the existing LTE specs and some updates to the NR specs in R15. </w:t>
      </w:r>
      <w:r w:rsidR="00903237">
        <w:t>One note maybe needed to clarify how to achieve 0ms for intra-frequency case</w:t>
      </w:r>
      <w:r w:rsidR="00EF4A3F">
        <w:t xml:space="preserve"> in RAN4 spec</w:t>
      </w:r>
      <w:r w:rsidR="00903237">
        <w:t xml:space="preserve">. </w:t>
      </w:r>
      <w:r>
        <w:rPr>
          <w:rFonts w:hint="eastAsia"/>
        </w:rPr>
        <w:t>While for the inter-frequency scenario, whether the 0ms IMT-2020 requirement can be achieved depends on RAN4</w:t>
      </w:r>
      <w:r>
        <w:t>’</w:t>
      </w:r>
      <w:r>
        <w:rPr>
          <w:rFonts w:hint="eastAsia"/>
        </w:rPr>
        <w:t xml:space="preserve">s evaluation on the TX RF tuning time. So, </w:t>
      </w:r>
      <w:r w:rsidR="00903237">
        <w:t xml:space="preserve">one </w:t>
      </w:r>
      <w:r>
        <w:rPr>
          <w:rFonts w:hint="eastAsia"/>
        </w:rPr>
        <w:t>LS should be sent to RAN4 to share the analysis in RAN2.</w:t>
      </w:r>
    </w:p>
    <w:p w:rsidR="0008775A" w:rsidRDefault="009771F4">
      <w:pPr>
        <w:rPr>
          <w:b/>
          <w:bCs/>
        </w:rPr>
      </w:pPr>
      <w:r>
        <w:rPr>
          <w:b/>
          <w:bCs/>
        </w:rPr>
        <w:t>Proposal 1: Send an LS to RAN4 to share the analysis in RAN2:</w:t>
      </w:r>
    </w:p>
    <w:p w:rsidR="00903237" w:rsidRDefault="009771F4">
      <w:pPr>
        <w:rPr>
          <w:b/>
          <w:bCs/>
        </w:rPr>
      </w:pPr>
      <w:r>
        <w:rPr>
          <w:rFonts w:hint="eastAsia"/>
          <w:b/>
          <w:bCs/>
        </w:rPr>
        <w:t>—</w:t>
      </w:r>
      <w:r>
        <w:rPr>
          <w:b/>
          <w:bCs/>
        </w:rPr>
        <w:t xml:space="preserve">  </w:t>
      </w:r>
      <w:r w:rsidR="00903237">
        <w:rPr>
          <w:b/>
          <w:bCs/>
        </w:rPr>
        <w:t>To confirm f</w:t>
      </w:r>
      <w:r w:rsidRPr="00AF5A71">
        <w:rPr>
          <w:b/>
          <w:bCs/>
        </w:rPr>
        <w:t xml:space="preserve">or the intra-frequency scenario, the 0ms IMT-2020 requirement can be achieved with the existing LTE specs </w:t>
      </w:r>
      <w:r w:rsidR="00903237">
        <w:rPr>
          <w:b/>
          <w:bCs/>
        </w:rPr>
        <w:t>with some minor clarification</w:t>
      </w:r>
      <w:r w:rsidR="00C4578A">
        <w:rPr>
          <w:b/>
          <w:bCs/>
        </w:rPr>
        <w:t xml:space="preserve"> on RF tuning time</w:t>
      </w:r>
    </w:p>
    <w:p w:rsidR="0008775A" w:rsidRPr="00AF5A71" w:rsidRDefault="00903237" w:rsidP="00AF5A71">
      <w:pPr>
        <w:ind w:firstLineChars="200" w:firstLine="422"/>
        <w:rPr>
          <w:b/>
          <w:bCs/>
        </w:rPr>
      </w:pPr>
      <w:r>
        <w:rPr>
          <w:b/>
          <w:bCs/>
        </w:rPr>
        <w:t>To confirm by adopting similar scheme as LTE</w:t>
      </w:r>
      <w:r w:rsidR="00EF4A3F">
        <w:rPr>
          <w:b/>
          <w:bCs/>
        </w:rPr>
        <w:t xml:space="preserve"> </w:t>
      </w:r>
      <w:r>
        <w:rPr>
          <w:b/>
          <w:bCs/>
        </w:rPr>
        <w:t>in</w:t>
      </w:r>
      <w:r w:rsidR="009771F4" w:rsidRPr="00AF5A71">
        <w:rPr>
          <w:b/>
          <w:bCs/>
        </w:rPr>
        <w:t xml:space="preserve"> NR specs in R15</w:t>
      </w:r>
      <w:r>
        <w:rPr>
          <w:b/>
          <w:bCs/>
        </w:rPr>
        <w:t xml:space="preserve">, 0ms IMT-2020 requirement can be also </w:t>
      </w:r>
      <w:r w:rsidR="00EF4A3F">
        <w:rPr>
          <w:b/>
          <w:bCs/>
        </w:rPr>
        <w:t xml:space="preserve">be </w:t>
      </w:r>
      <w:r>
        <w:rPr>
          <w:b/>
          <w:bCs/>
        </w:rPr>
        <w:t>met</w:t>
      </w:r>
      <w:r w:rsidR="009771F4" w:rsidRPr="00AF5A71">
        <w:rPr>
          <w:b/>
          <w:bCs/>
        </w:rPr>
        <w:t>;</w:t>
      </w:r>
    </w:p>
    <w:p w:rsidR="0008775A" w:rsidRPr="00AF5A71" w:rsidRDefault="009771F4">
      <w:pPr>
        <w:rPr>
          <w:b/>
          <w:bCs/>
        </w:rPr>
      </w:pPr>
      <w:r w:rsidRPr="00AF5A71">
        <w:rPr>
          <w:rFonts w:hint="eastAsia"/>
          <w:b/>
          <w:bCs/>
        </w:rPr>
        <w:t>—</w:t>
      </w:r>
      <w:r w:rsidRPr="00AF5A71">
        <w:rPr>
          <w:b/>
          <w:bCs/>
        </w:rPr>
        <w:t xml:space="preserve">  For the inter-frequency scenario, </w:t>
      </w:r>
      <w:r w:rsidR="00C4578A">
        <w:rPr>
          <w:b/>
          <w:bCs/>
        </w:rPr>
        <w:t>to check whether 2TX is acceptable assumption and if not, what is reasonable RF tuning time for TX</w:t>
      </w:r>
      <w:r w:rsidRPr="00AF5A71">
        <w:rPr>
          <w:b/>
          <w:bCs/>
        </w:rPr>
        <w:t>;</w:t>
      </w:r>
    </w:p>
    <w:p w:rsidR="0008775A" w:rsidRDefault="009771F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08775A" w:rsidRDefault="009771F4">
      <w:r>
        <w:t xml:space="preserve">In this contribution, </w:t>
      </w:r>
      <w:r>
        <w:rPr>
          <w:rFonts w:hint="eastAsia"/>
        </w:rPr>
        <w:t>how to address the 0ms handover interruption with the combination of MBB and RACH-less is analyzed with the following observations and proposals:</w:t>
      </w:r>
    </w:p>
    <w:p w:rsidR="00E90E3E" w:rsidRDefault="00E90E3E" w:rsidP="00E90E3E">
      <w:pPr>
        <w:rPr>
          <w:b/>
          <w:bCs/>
        </w:rPr>
      </w:pPr>
      <w:r>
        <w:rPr>
          <w:b/>
          <w:bCs/>
        </w:rPr>
        <w:t>Conclusion</w:t>
      </w:r>
      <w:r>
        <w:rPr>
          <w:rFonts w:hint="eastAsia"/>
          <w:b/>
          <w:bCs/>
        </w:rPr>
        <w:t xml:space="preserve"> 1: With the combination of MBB and RACH-less HO, the handover interruption can be reduced </w:t>
      </w:r>
      <w:r>
        <w:rPr>
          <w:b/>
          <w:bCs/>
        </w:rPr>
        <w:t>down to</w:t>
      </w:r>
      <w:r>
        <w:rPr>
          <w:rFonts w:hint="eastAsia"/>
          <w:b/>
          <w:bCs/>
        </w:rPr>
        <w:t xml:space="preserve"> </w:t>
      </w:r>
      <w:r>
        <w:rPr>
          <w:b/>
          <w:bCs/>
        </w:rPr>
        <w:t>0</w:t>
      </w:r>
      <w:r>
        <w:rPr>
          <w:rFonts w:hint="eastAsia"/>
          <w:b/>
          <w:bCs/>
        </w:rPr>
        <w:t xml:space="preserve">ms in LTE </w:t>
      </w:r>
      <w:r>
        <w:rPr>
          <w:b/>
          <w:bCs/>
        </w:rPr>
        <w:t>for intra-frequency case</w:t>
      </w:r>
    </w:p>
    <w:p w:rsidR="00E90E3E" w:rsidRDefault="00E90E3E" w:rsidP="00E90E3E">
      <w:pPr>
        <w:rPr>
          <w:b/>
          <w:bCs/>
        </w:rPr>
      </w:pPr>
      <w:r>
        <w:rPr>
          <w:rFonts w:hint="eastAsia"/>
          <w:b/>
          <w:bCs/>
        </w:rPr>
        <w:t xml:space="preserve">Observation </w:t>
      </w:r>
      <w:r>
        <w:rPr>
          <w:b/>
          <w:bCs/>
        </w:rPr>
        <w:t>1</w:t>
      </w:r>
      <w:r>
        <w:rPr>
          <w:rFonts w:hint="eastAsia"/>
          <w:b/>
          <w:bCs/>
        </w:rPr>
        <w:t xml:space="preserve">: RACH-less handover can also be supported in NR both for low frequencies and high frequencies with some minor changes </w:t>
      </w:r>
      <w:r>
        <w:rPr>
          <w:b/>
          <w:bCs/>
        </w:rPr>
        <w:t xml:space="preserve">to </w:t>
      </w:r>
      <w:r>
        <w:rPr>
          <w:rFonts w:hint="eastAsia"/>
          <w:b/>
          <w:bCs/>
        </w:rPr>
        <w:t>tak</w:t>
      </w:r>
      <w:r>
        <w:rPr>
          <w:b/>
          <w:bCs/>
        </w:rPr>
        <w:t>e</w:t>
      </w:r>
      <w:r>
        <w:rPr>
          <w:rFonts w:hint="eastAsia"/>
          <w:b/>
          <w:bCs/>
        </w:rPr>
        <w:t xml:space="preserve"> the beamforming property into consideration.</w:t>
      </w:r>
    </w:p>
    <w:p w:rsidR="00E90E3E" w:rsidRDefault="00E90E3E" w:rsidP="00E90E3E">
      <w:pPr>
        <w:rPr>
          <w:b/>
          <w:bCs/>
        </w:rPr>
      </w:pPr>
      <w:r>
        <w:rPr>
          <w:b/>
          <w:bCs/>
        </w:rPr>
        <w:t>Conclusion 2</w:t>
      </w:r>
      <w:r>
        <w:rPr>
          <w:rFonts w:hint="eastAsia"/>
          <w:b/>
          <w:bCs/>
        </w:rPr>
        <w:t xml:space="preserve">: With the combination of MBB and RACH-less HO, in R15, the handover interruption can be reduced </w:t>
      </w:r>
      <w:r>
        <w:rPr>
          <w:b/>
          <w:bCs/>
        </w:rPr>
        <w:t>down to</w:t>
      </w:r>
      <w:r>
        <w:rPr>
          <w:rFonts w:hint="eastAsia"/>
          <w:b/>
          <w:bCs/>
        </w:rPr>
        <w:t xml:space="preserve"> 0</w:t>
      </w:r>
      <w:r>
        <w:rPr>
          <w:b/>
          <w:bCs/>
        </w:rPr>
        <w:t>ms</w:t>
      </w:r>
      <w:r>
        <w:rPr>
          <w:rFonts w:hint="eastAsia"/>
          <w:b/>
          <w:bCs/>
        </w:rPr>
        <w:t xml:space="preserve"> for NR at least for the intra-frequency scenario. </w:t>
      </w:r>
    </w:p>
    <w:p w:rsidR="0008775A" w:rsidRDefault="009771F4">
      <w:r>
        <w:rPr>
          <w:rFonts w:hint="eastAsia"/>
        </w:rPr>
        <w:t xml:space="preserve">A draft LS is provided in our companion contribution </w:t>
      </w:r>
      <w:r>
        <w:rPr>
          <w:rFonts w:hint="eastAsia"/>
        </w:rPr>
        <w:fldChar w:fldCharType="begin"/>
      </w:r>
      <w:r>
        <w:rPr>
          <w:rFonts w:hint="eastAsia"/>
        </w:rPr>
        <w:instrText xml:space="preserve"> REF _Ref21560 \n \h </w:instrText>
      </w:r>
      <w:r>
        <w:rPr>
          <w:rFonts w:hint="eastAsia"/>
        </w:rPr>
      </w:r>
      <w:r>
        <w:rPr>
          <w:rFonts w:hint="eastAsia"/>
        </w:rPr>
        <w:fldChar w:fldCharType="separate"/>
      </w:r>
      <w:r>
        <w:rPr>
          <w:rFonts w:hint="eastAsia"/>
        </w:rPr>
        <w:t>[6]</w:t>
      </w:r>
      <w:r>
        <w:rPr>
          <w:rFonts w:hint="eastAsia"/>
        </w:rPr>
        <w:fldChar w:fldCharType="end"/>
      </w:r>
      <w:r>
        <w:rPr>
          <w:rFonts w:hint="eastAsia"/>
        </w:rPr>
        <w:t>.</w:t>
      </w:r>
    </w:p>
    <w:p w:rsidR="0008775A" w:rsidRDefault="009771F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08775A" w:rsidRDefault="009771F4">
      <w:pPr>
        <w:pStyle w:val="12"/>
        <w:numPr>
          <w:ilvl w:val="0"/>
          <w:numId w:val="4"/>
        </w:numPr>
        <w:ind w:firstLineChars="0"/>
      </w:pPr>
      <w:bookmarkStart w:id="5" w:name="_Ref21220"/>
      <w:bookmarkStart w:id="6" w:name="_Ref1701"/>
      <w:bookmarkStart w:id="7" w:name="_Ref11797"/>
      <w:r>
        <w:rPr>
          <w:rFonts w:hint="eastAsia"/>
        </w:rPr>
        <w:t xml:space="preserve">RP-172807 Plan to address 0ms handover interruption requirement </w:t>
      </w:r>
      <w:bookmarkEnd w:id="5"/>
    </w:p>
    <w:p w:rsidR="0008775A" w:rsidRDefault="009771F4">
      <w:pPr>
        <w:pStyle w:val="12"/>
        <w:numPr>
          <w:ilvl w:val="0"/>
          <w:numId w:val="4"/>
        </w:numPr>
        <w:ind w:firstLineChars="0"/>
      </w:pPr>
      <w:bookmarkStart w:id="8" w:name="_Ref21279"/>
      <w:r>
        <w:rPr>
          <w:rFonts w:hint="eastAsia"/>
        </w:rPr>
        <w:t>36.</w:t>
      </w:r>
      <w:bookmarkEnd w:id="6"/>
      <w:r>
        <w:rPr>
          <w:rFonts w:hint="eastAsia"/>
        </w:rPr>
        <w:t xml:space="preserve">881 </w:t>
      </w:r>
      <w:r>
        <w:t>Study on latency reduction techniques for LTE</w:t>
      </w:r>
      <w:bookmarkEnd w:id="7"/>
      <w:bookmarkEnd w:id="8"/>
    </w:p>
    <w:p w:rsidR="0008775A" w:rsidRDefault="009771F4">
      <w:pPr>
        <w:pStyle w:val="12"/>
        <w:numPr>
          <w:ilvl w:val="0"/>
          <w:numId w:val="4"/>
        </w:numPr>
        <w:ind w:firstLineChars="0"/>
      </w:pPr>
      <w:bookmarkStart w:id="9" w:name="_Ref14311"/>
      <w:r>
        <w:t>RP-16</w:t>
      </w:r>
      <w:r>
        <w:rPr>
          <w:rFonts w:hint="eastAsia"/>
        </w:rPr>
        <w:t xml:space="preserve">0636 </w:t>
      </w:r>
      <w:r>
        <w:t xml:space="preserve">New </w:t>
      </w:r>
      <w:r>
        <w:rPr>
          <w:rFonts w:hint="eastAsia"/>
        </w:rPr>
        <w:t>W</w:t>
      </w:r>
      <w:r>
        <w:t xml:space="preserve">ID: Further mobility enhancements </w:t>
      </w:r>
      <w:r>
        <w:rPr>
          <w:rFonts w:hint="eastAsia"/>
        </w:rPr>
        <w:t>in</w:t>
      </w:r>
      <w:r>
        <w:t xml:space="preserve"> LTE</w:t>
      </w:r>
      <w:r>
        <w:rPr>
          <w:rFonts w:hint="eastAsia"/>
        </w:rPr>
        <w:t xml:space="preserve"> ZTE</w:t>
      </w:r>
      <w:bookmarkEnd w:id="9"/>
    </w:p>
    <w:p w:rsidR="0008775A" w:rsidRDefault="009771F4">
      <w:pPr>
        <w:pStyle w:val="12"/>
        <w:numPr>
          <w:ilvl w:val="0"/>
          <w:numId w:val="4"/>
        </w:numPr>
        <w:ind w:firstLineChars="0"/>
      </w:pPr>
      <w:bookmarkStart w:id="10" w:name="_Ref25509"/>
      <w:bookmarkStart w:id="11" w:name="_Ref21406"/>
      <w:r>
        <w:rPr>
          <w:rFonts w:hint="eastAsia"/>
        </w:rPr>
        <w:t xml:space="preserve">36.133 </w:t>
      </w:r>
      <w:bookmarkEnd w:id="10"/>
      <w:r>
        <w:rPr>
          <w:rFonts w:cs="v4.2.0"/>
        </w:rPr>
        <w:t>Requirements for support of radio resource management</w:t>
      </w:r>
      <w:bookmarkEnd w:id="11"/>
    </w:p>
    <w:p w:rsidR="0008775A" w:rsidRDefault="009771F4">
      <w:pPr>
        <w:pStyle w:val="12"/>
        <w:numPr>
          <w:ilvl w:val="0"/>
          <w:numId w:val="4"/>
        </w:numPr>
        <w:ind w:firstLineChars="0"/>
      </w:pPr>
      <w:bookmarkStart w:id="12" w:name="_Ref6675"/>
      <w:r>
        <w:rPr>
          <w:rFonts w:hint="eastAsia"/>
        </w:rPr>
        <w:t xml:space="preserve">R2-1800436 </w:t>
      </w:r>
      <w:r>
        <w:t>Discussion on the support of MBB and RACH-less in NR</w:t>
      </w:r>
      <w:r>
        <w:rPr>
          <w:rFonts w:hint="eastAsia"/>
        </w:rPr>
        <w:t xml:space="preserve"> ZTE</w:t>
      </w:r>
      <w:bookmarkEnd w:id="12"/>
    </w:p>
    <w:p w:rsidR="0008775A" w:rsidRDefault="009771F4">
      <w:pPr>
        <w:pStyle w:val="12"/>
        <w:numPr>
          <w:ilvl w:val="0"/>
          <w:numId w:val="4"/>
        </w:numPr>
        <w:ind w:firstLineChars="0"/>
        <w:rPr>
          <w:lang w:val="en-GB"/>
        </w:rPr>
      </w:pPr>
      <w:bookmarkStart w:id="13" w:name="_Ref21560"/>
      <w:bookmarkStart w:id="14" w:name="OLE_LINK8"/>
      <w:r>
        <w:rPr>
          <w:rFonts w:hint="eastAsia"/>
        </w:rPr>
        <w:t>R2-1800470 LS to RAN4 on the 0ms handover interruption requirement from IMT2020 in R15</w:t>
      </w:r>
      <w:bookmarkEnd w:id="13"/>
      <w:bookmarkEnd w:id="14"/>
    </w:p>
    <w:sectPr w:rsidR="0008775A">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BAB" w:rsidRDefault="007F4BAB">
      <w:pPr>
        <w:spacing w:after="0" w:line="240" w:lineRule="auto"/>
      </w:pPr>
      <w:r>
        <w:separator/>
      </w:r>
    </w:p>
  </w:endnote>
  <w:endnote w:type="continuationSeparator" w:id="0">
    <w:p w:rsidR="007F4BAB" w:rsidRDefault="007F4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75A" w:rsidRDefault="009771F4">
    <w:pPr>
      <w:pStyle w:val="ae"/>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08775A" w:rsidRDefault="0008775A">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75A" w:rsidRDefault="0008775A">
    <w:pPr>
      <w:pStyle w:val="ae"/>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BAB" w:rsidRDefault="007F4BAB">
      <w:pPr>
        <w:spacing w:after="0" w:line="240" w:lineRule="auto"/>
      </w:pPr>
      <w:r>
        <w:separator/>
      </w:r>
    </w:p>
  </w:footnote>
  <w:footnote w:type="continuationSeparator" w:id="0">
    <w:p w:rsidR="007F4BAB" w:rsidRDefault="007F4B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75A" w:rsidRDefault="0008775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hyphenationZone w:val="283"/>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0510"/>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7093A"/>
    <w:rsid w:val="0007205B"/>
    <w:rsid w:val="000755A8"/>
    <w:rsid w:val="00076521"/>
    <w:rsid w:val="00076B12"/>
    <w:rsid w:val="000803CC"/>
    <w:rsid w:val="000804D4"/>
    <w:rsid w:val="0008122E"/>
    <w:rsid w:val="00082CAA"/>
    <w:rsid w:val="00084609"/>
    <w:rsid w:val="000875C4"/>
    <w:rsid w:val="0008775A"/>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B1BFA"/>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6145"/>
    <w:rsid w:val="0012673B"/>
    <w:rsid w:val="001277F8"/>
    <w:rsid w:val="00131E4E"/>
    <w:rsid w:val="00131F75"/>
    <w:rsid w:val="0013288E"/>
    <w:rsid w:val="00134275"/>
    <w:rsid w:val="00136760"/>
    <w:rsid w:val="00137B0E"/>
    <w:rsid w:val="00137D4E"/>
    <w:rsid w:val="001413B6"/>
    <w:rsid w:val="00141835"/>
    <w:rsid w:val="00145AFF"/>
    <w:rsid w:val="00147740"/>
    <w:rsid w:val="00150BAB"/>
    <w:rsid w:val="00153B68"/>
    <w:rsid w:val="001575D1"/>
    <w:rsid w:val="001601B5"/>
    <w:rsid w:val="00160A40"/>
    <w:rsid w:val="001627D9"/>
    <w:rsid w:val="00171FF9"/>
    <w:rsid w:val="0017245C"/>
    <w:rsid w:val="00175874"/>
    <w:rsid w:val="001767E6"/>
    <w:rsid w:val="00176AC2"/>
    <w:rsid w:val="001802FB"/>
    <w:rsid w:val="001806A8"/>
    <w:rsid w:val="00180983"/>
    <w:rsid w:val="0018310D"/>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DF5"/>
    <w:rsid w:val="001F4346"/>
    <w:rsid w:val="001F643D"/>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6439B"/>
    <w:rsid w:val="00270A1C"/>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2E65"/>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077A7"/>
    <w:rsid w:val="0051029C"/>
    <w:rsid w:val="005146EB"/>
    <w:rsid w:val="00514EAD"/>
    <w:rsid w:val="005214BE"/>
    <w:rsid w:val="005219AA"/>
    <w:rsid w:val="00522736"/>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AC4"/>
    <w:rsid w:val="0057377D"/>
    <w:rsid w:val="005816EF"/>
    <w:rsid w:val="005842C1"/>
    <w:rsid w:val="00584359"/>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03"/>
    <w:rsid w:val="006413AD"/>
    <w:rsid w:val="00643A7A"/>
    <w:rsid w:val="0064545A"/>
    <w:rsid w:val="00647A3B"/>
    <w:rsid w:val="006503F8"/>
    <w:rsid w:val="00650D0F"/>
    <w:rsid w:val="00651856"/>
    <w:rsid w:val="006521E7"/>
    <w:rsid w:val="00655018"/>
    <w:rsid w:val="0065548F"/>
    <w:rsid w:val="0065579F"/>
    <w:rsid w:val="00670351"/>
    <w:rsid w:val="006706AA"/>
    <w:rsid w:val="006718B7"/>
    <w:rsid w:val="00673154"/>
    <w:rsid w:val="00674597"/>
    <w:rsid w:val="006746B2"/>
    <w:rsid w:val="0067540D"/>
    <w:rsid w:val="0068365D"/>
    <w:rsid w:val="0068430C"/>
    <w:rsid w:val="00684C26"/>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9FE"/>
    <w:rsid w:val="006B4C14"/>
    <w:rsid w:val="006C2D21"/>
    <w:rsid w:val="006C60A2"/>
    <w:rsid w:val="006C6193"/>
    <w:rsid w:val="006D5430"/>
    <w:rsid w:val="006D5967"/>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1600"/>
    <w:rsid w:val="007C2A0A"/>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4BAB"/>
    <w:rsid w:val="007F502E"/>
    <w:rsid w:val="007F65F6"/>
    <w:rsid w:val="007F6A42"/>
    <w:rsid w:val="007F6B64"/>
    <w:rsid w:val="008013CA"/>
    <w:rsid w:val="00804AEB"/>
    <w:rsid w:val="008056CF"/>
    <w:rsid w:val="00806C7C"/>
    <w:rsid w:val="0080728E"/>
    <w:rsid w:val="00812FD7"/>
    <w:rsid w:val="00814945"/>
    <w:rsid w:val="00814985"/>
    <w:rsid w:val="00815CAF"/>
    <w:rsid w:val="008160BF"/>
    <w:rsid w:val="00816F96"/>
    <w:rsid w:val="008175D4"/>
    <w:rsid w:val="00817D3C"/>
    <w:rsid w:val="00823AF8"/>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237"/>
    <w:rsid w:val="009039E2"/>
    <w:rsid w:val="0091196A"/>
    <w:rsid w:val="00911DC9"/>
    <w:rsid w:val="00911DE4"/>
    <w:rsid w:val="009123FF"/>
    <w:rsid w:val="009137D1"/>
    <w:rsid w:val="009164CD"/>
    <w:rsid w:val="00917271"/>
    <w:rsid w:val="00922A9F"/>
    <w:rsid w:val="0092327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32A"/>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718E"/>
    <w:rsid w:val="009771F4"/>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0B88"/>
    <w:rsid w:val="009F2244"/>
    <w:rsid w:val="009F3D12"/>
    <w:rsid w:val="009F4ECE"/>
    <w:rsid w:val="00A01159"/>
    <w:rsid w:val="00A035AF"/>
    <w:rsid w:val="00A03B8C"/>
    <w:rsid w:val="00A03D3F"/>
    <w:rsid w:val="00A04BEB"/>
    <w:rsid w:val="00A04DE2"/>
    <w:rsid w:val="00A11A20"/>
    <w:rsid w:val="00A11DFB"/>
    <w:rsid w:val="00A11F1E"/>
    <w:rsid w:val="00A144AF"/>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5A71"/>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6E48"/>
    <w:rsid w:val="00B23604"/>
    <w:rsid w:val="00B2566A"/>
    <w:rsid w:val="00B34561"/>
    <w:rsid w:val="00B41694"/>
    <w:rsid w:val="00B41E8C"/>
    <w:rsid w:val="00B425D5"/>
    <w:rsid w:val="00B427B9"/>
    <w:rsid w:val="00B43371"/>
    <w:rsid w:val="00B44CA2"/>
    <w:rsid w:val="00B454AE"/>
    <w:rsid w:val="00B469F4"/>
    <w:rsid w:val="00B5038B"/>
    <w:rsid w:val="00B52464"/>
    <w:rsid w:val="00B55CF3"/>
    <w:rsid w:val="00B6461C"/>
    <w:rsid w:val="00B662E6"/>
    <w:rsid w:val="00B670CE"/>
    <w:rsid w:val="00B67B79"/>
    <w:rsid w:val="00B67E74"/>
    <w:rsid w:val="00B7195D"/>
    <w:rsid w:val="00B72360"/>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2A8"/>
    <w:rsid w:val="00C277E7"/>
    <w:rsid w:val="00C278C2"/>
    <w:rsid w:val="00C32425"/>
    <w:rsid w:val="00C33DEA"/>
    <w:rsid w:val="00C353D0"/>
    <w:rsid w:val="00C35AE1"/>
    <w:rsid w:val="00C41E55"/>
    <w:rsid w:val="00C43809"/>
    <w:rsid w:val="00C43FEA"/>
    <w:rsid w:val="00C44CA0"/>
    <w:rsid w:val="00C45167"/>
    <w:rsid w:val="00C4578A"/>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3F22"/>
    <w:rsid w:val="00CC43B7"/>
    <w:rsid w:val="00CC46C5"/>
    <w:rsid w:val="00CD229F"/>
    <w:rsid w:val="00CD468E"/>
    <w:rsid w:val="00CE13DD"/>
    <w:rsid w:val="00CE2D1F"/>
    <w:rsid w:val="00CE52F0"/>
    <w:rsid w:val="00CF18A3"/>
    <w:rsid w:val="00CF356A"/>
    <w:rsid w:val="00CF4A61"/>
    <w:rsid w:val="00CF7BAA"/>
    <w:rsid w:val="00D029CB"/>
    <w:rsid w:val="00D04274"/>
    <w:rsid w:val="00D04F85"/>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0F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609"/>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0F50"/>
    <w:rsid w:val="00E521EE"/>
    <w:rsid w:val="00E52C0C"/>
    <w:rsid w:val="00E62B3D"/>
    <w:rsid w:val="00E6315A"/>
    <w:rsid w:val="00E65E86"/>
    <w:rsid w:val="00E70168"/>
    <w:rsid w:val="00E71B00"/>
    <w:rsid w:val="00E73C7F"/>
    <w:rsid w:val="00E73F72"/>
    <w:rsid w:val="00E740D9"/>
    <w:rsid w:val="00E8224F"/>
    <w:rsid w:val="00E853FB"/>
    <w:rsid w:val="00E85E3C"/>
    <w:rsid w:val="00E90E3E"/>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3F"/>
    <w:rsid w:val="00EF4AE0"/>
    <w:rsid w:val="00EF6FA1"/>
    <w:rsid w:val="00F008C4"/>
    <w:rsid w:val="00F012FF"/>
    <w:rsid w:val="00F01A21"/>
    <w:rsid w:val="00F046E9"/>
    <w:rsid w:val="00F04831"/>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33F4"/>
    <w:rsid w:val="00F544AB"/>
    <w:rsid w:val="00F5653F"/>
    <w:rsid w:val="00F56A1B"/>
    <w:rsid w:val="00F577D9"/>
    <w:rsid w:val="00F6079F"/>
    <w:rsid w:val="00F644FC"/>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1709"/>
    <w:rsid w:val="00FA3453"/>
    <w:rsid w:val="00FA34B5"/>
    <w:rsid w:val="00FB0158"/>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6577D"/>
    <w:rsid w:val="01767489"/>
    <w:rsid w:val="02257C7D"/>
    <w:rsid w:val="032810D7"/>
    <w:rsid w:val="036E44DE"/>
    <w:rsid w:val="037657FD"/>
    <w:rsid w:val="03A70410"/>
    <w:rsid w:val="03D06558"/>
    <w:rsid w:val="042D1C4D"/>
    <w:rsid w:val="04403ED2"/>
    <w:rsid w:val="044679DF"/>
    <w:rsid w:val="0550679C"/>
    <w:rsid w:val="056F6AC2"/>
    <w:rsid w:val="05B17F65"/>
    <w:rsid w:val="05CA5647"/>
    <w:rsid w:val="06403D08"/>
    <w:rsid w:val="06406186"/>
    <w:rsid w:val="067E23DF"/>
    <w:rsid w:val="06B07D7D"/>
    <w:rsid w:val="071A0ECA"/>
    <w:rsid w:val="07387A0E"/>
    <w:rsid w:val="076459B0"/>
    <w:rsid w:val="07C84D70"/>
    <w:rsid w:val="07D45660"/>
    <w:rsid w:val="07E10730"/>
    <w:rsid w:val="07EB0909"/>
    <w:rsid w:val="08630420"/>
    <w:rsid w:val="08AE0A5E"/>
    <w:rsid w:val="08AF7103"/>
    <w:rsid w:val="08C0640A"/>
    <w:rsid w:val="08DC1A4B"/>
    <w:rsid w:val="09236471"/>
    <w:rsid w:val="092F2185"/>
    <w:rsid w:val="093A3BA0"/>
    <w:rsid w:val="094E3B8F"/>
    <w:rsid w:val="09706847"/>
    <w:rsid w:val="098246C4"/>
    <w:rsid w:val="099B17D9"/>
    <w:rsid w:val="09B84938"/>
    <w:rsid w:val="09C1228B"/>
    <w:rsid w:val="0A1E4E76"/>
    <w:rsid w:val="0A673594"/>
    <w:rsid w:val="0A820A9F"/>
    <w:rsid w:val="0AE8612E"/>
    <w:rsid w:val="0AF957A7"/>
    <w:rsid w:val="0B500172"/>
    <w:rsid w:val="0B797F7A"/>
    <w:rsid w:val="0BCD7D97"/>
    <w:rsid w:val="0C0D1F72"/>
    <w:rsid w:val="0C5137FC"/>
    <w:rsid w:val="0C571074"/>
    <w:rsid w:val="0CFD7248"/>
    <w:rsid w:val="0DCB75E7"/>
    <w:rsid w:val="0E28192B"/>
    <w:rsid w:val="0E7309D7"/>
    <w:rsid w:val="0E8D03D6"/>
    <w:rsid w:val="0E930DC4"/>
    <w:rsid w:val="0EBC2499"/>
    <w:rsid w:val="0EC96A00"/>
    <w:rsid w:val="0EEF6379"/>
    <w:rsid w:val="0FA243D2"/>
    <w:rsid w:val="100735B2"/>
    <w:rsid w:val="1035020F"/>
    <w:rsid w:val="10494992"/>
    <w:rsid w:val="10624D2B"/>
    <w:rsid w:val="1077695C"/>
    <w:rsid w:val="10870262"/>
    <w:rsid w:val="10C43D16"/>
    <w:rsid w:val="111A79B3"/>
    <w:rsid w:val="117033B6"/>
    <w:rsid w:val="11B24B12"/>
    <w:rsid w:val="11DA70CD"/>
    <w:rsid w:val="11DD5F28"/>
    <w:rsid w:val="12013353"/>
    <w:rsid w:val="12163453"/>
    <w:rsid w:val="122E30FA"/>
    <w:rsid w:val="12655629"/>
    <w:rsid w:val="12C2609B"/>
    <w:rsid w:val="12DF301E"/>
    <w:rsid w:val="12E3243E"/>
    <w:rsid w:val="12EC32DA"/>
    <w:rsid w:val="12F7576D"/>
    <w:rsid w:val="130412A8"/>
    <w:rsid w:val="134401F2"/>
    <w:rsid w:val="134E4F9F"/>
    <w:rsid w:val="13651D2F"/>
    <w:rsid w:val="139D65A5"/>
    <w:rsid w:val="13F05649"/>
    <w:rsid w:val="147C3345"/>
    <w:rsid w:val="14931CC2"/>
    <w:rsid w:val="151963EB"/>
    <w:rsid w:val="155810A4"/>
    <w:rsid w:val="15B421DB"/>
    <w:rsid w:val="15B80C51"/>
    <w:rsid w:val="160616FA"/>
    <w:rsid w:val="16386375"/>
    <w:rsid w:val="163A3F40"/>
    <w:rsid w:val="16CF1F76"/>
    <w:rsid w:val="16F9497F"/>
    <w:rsid w:val="17275E00"/>
    <w:rsid w:val="177D34B5"/>
    <w:rsid w:val="178B2801"/>
    <w:rsid w:val="178D7F71"/>
    <w:rsid w:val="18610258"/>
    <w:rsid w:val="192514EC"/>
    <w:rsid w:val="194C1FBB"/>
    <w:rsid w:val="19E843AC"/>
    <w:rsid w:val="1A884612"/>
    <w:rsid w:val="1A8A1FF0"/>
    <w:rsid w:val="1AA1145C"/>
    <w:rsid w:val="1AC029DC"/>
    <w:rsid w:val="1AE2358A"/>
    <w:rsid w:val="1AFE0329"/>
    <w:rsid w:val="1B8A2061"/>
    <w:rsid w:val="1B993E7B"/>
    <w:rsid w:val="1BE13FED"/>
    <w:rsid w:val="1C0E204C"/>
    <w:rsid w:val="1C5463BD"/>
    <w:rsid w:val="1C7E0941"/>
    <w:rsid w:val="1CA46A9D"/>
    <w:rsid w:val="1CAF18A4"/>
    <w:rsid w:val="1CC400CD"/>
    <w:rsid w:val="1CD54EBF"/>
    <w:rsid w:val="1DCC34E5"/>
    <w:rsid w:val="1E5E4DE7"/>
    <w:rsid w:val="1E6858F9"/>
    <w:rsid w:val="1E8B2814"/>
    <w:rsid w:val="1EE009AF"/>
    <w:rsid w:val="1F2F6D5F"/>
    <w:rsid w:val="1F456769"/>
    <w:rsid w:val="1F5F16C1"/>
    <w:rsid w:val="1FF4282B"/>
    <w:rsid w:val="20241825"/>
    <w:rsid w:val="204A3E68"/>
    <w:rsid w:val="20577738"/>
    <w:rsid w:val="207D2917"/>
    <w:rsid w:val="20834F5A"/>
    <w:rsid w:val="21325170"/>
    <w:rsid w:val="21450921"/>
    <w:rsid w:val="2184798A"/>
    <w:rsid w:val="225A6EDD"/>
    <w:rsid w:val="22C54E5E"/>
    <w:rsid w:val="23001A71"/>
    <w:rsid w:val="230277C8"/>
    <w:rsid w:val="23475649"/>
    <w:rsid w:val="234B55E1"/>
    <w:rsid w:val="2372507F"/>
    <w:rsid w:val="23897169"/>
    <w:rsid w:val="23AF6A91"/>
    <w:rsid w:val="23D75BB9"/>
    <w:rsid w:val="24281A10"/>
    <w:rsid w:val="256A0D09"/>
    <w:rsid w:val="25781E94"/>
    <w:rsid w:val="2583670F"/>
    <w:rsid w:val="25BF2EA0"/>
    <w:rsid w:val="25C70600"/>
    <w:rsid w:val="25D3362D"/>
    <w:rsid w:val="25D815EA"/>
    <w:rsid w:val="25E27DFF"/>
    <w:rsid w:val="260C58C5"/>
    <w:rsid w:val="263343F9"/>
    <w:rsid w:val="26871BB0"/>
    <w:rsid w:val="269A6DB8"/>
    <w:rsid w:val="26D27C2C"/>
    <w:rsid w:val="27326E8F"/>
    <w:rsid w:val="27511646"/>
    <w:rsid w:val="27C9792F"/>
    <w:rsid w:val="27E951EF"/>
    <w:rsid w:val="27F00D3F"/>
    <w:rsid w:val="28034C62"/>
    <w:rsid w:val="28E409CD"/>
    <w:rsid w:val="28EA7485"/>
    <w:rsid w:val="296B0797"/>
    <w:rsid w:val="2986706C"/>
    <w:rsid w:val="2A664904"/>
    <w:rsid w:val="2A6C0C25"/>
    <w:rsid w:val="2A6E2306"/>
    <w:rsid w:val="2A8C6B81"/>
    <w:rsid w:val="2A9C5F9E"/>
    <w:rsid w:val="2AA16B48"/>
    <w:rsid w:val="2AE238B9"/>
    <w:rsid w:val="2AF07763"/>
    <w:rsid w:val="2B4B0746"/>
    <w:rsid w:val="2B4C4E8F"/>
    <w:rsid w:val="2B9A5CEE"/>
    <w:rsid w:val="2BC54A1D"/>
    <w:rsid w:val="2BF56766"/>
    <w:rsid w:val="2C244C50"/>
    <w:rsid w:val="2C2F4FC6"/>
    <w:rsid w:val="2C613ED0"/>
    <w:rsid w:val="2CAE06C3"/>
    <w:rsid w:val="2CF87539"/>
    <w:rsid w:val="2D381B6C"/>
    <w:rsid w:val="2D62537E"/>
    <w:rsid w:val="2D927047"/>
    <w:rsid w:val="2DA65AA1"/>
    <w:rsid w:val="2DE42655"/>
    <w:rsid w:val="2E034DF3"/>
    <w:rsid w:val="2E200E33"/>
    <w:rsid w:val="2E2F2F05"/>
    <w:rsid w:val="2ED11DCF"/>
    <w:rsid w:val="2F1129DD"/>
    <w:rsid w:val="2F3F322C"/>
    <w:rsid w:val="2F5142ED"/>
    <w:rsid w:val="30454D37"/>
    <w:rsid w:val="30A10650"/>
    <w:rsid w:val="30C72CCB"/>
    <w:rsid w:val="310D6219"/>
    <w:rsid w:val="312F0A84"/>
    <w:rsid w:val="31355624"/>
    <w:rsid w:val="31806CAD"/>
    <w:rsid w:val="31BF518F"/>
    <w:rsid w:val="31EB6407"/>
    <w:rsid w:val="325C2D76"/>
    <w:rsid w:val="32C246E2"/>
    <w:rsid w:val="336640FD"/>
    <w:rsid w:val="33BE7805"/>
    <w:rsid w:val="33DE3ADB"/>
    <w:rsid w:val="33FC6D82"/>
    <w:rsid w:val="33FD210A"/>
    <w:rsid w:val="340925AB"/>
    <w:rsid w:val="341D1F64"/>
    <w:rsid w:val="34214E95"/>
    <w:rsid w:val="34802039"/>
    <w:rsid w:val="34822261"/>
    <w:rsid w:val="351E408A"/>
    <w:rsid w:val="356A5601"/>
    <w:rsid w:val="35DE7883"/>
    <w:rsid w:val="360603D7"/>
    <w:rsid w:val="366B0451"/>
    <w:rsid w:val="3679532B"/>
    <w:rsid w:val="36F9343C"/>
    <w:rsid w:val="372E3AB9"/>
    <w:rsid w:val="3858063B"/>
    <w:rsid w:val="38717566"/>
    <w:rsid w:val="3957061E"/>
    <w:rsid w:val="39940229"/>
    <w:rsid w:val="39AA29DA"/>
    <w:rsid w:val="39D81E30"/>
    <w:rsid w:val="3A5D2704"/>
    <w:rsid w:val="3A7810EE"/>
    <w:rsid w:val="3A9A1E28"/>
    <w:rsid w:val="3AA94B21"/>
    <w:rsid w:val="3B666C80"/>
    <w:rsid w:val="3B6C4A2E"/>
    <w:rsid w:val="3B9C51AC"/>
    <w:rsid w:val="3C5D698E"/>
    <w:rsid w:val="3CEA4274"/>
    <w:rsid w:val="3CFD67E6"/>
    <w:rsid w:val="3D0F2522"/>
    <w:rsid w:val="3D1E020E"/>
    <w:rsid w:val="3D454518"/>
    <w:rsid w:val="3D461678"/>
    <w:rsid w:val="3D781196"/>
    <w:rsid w:val="3E945A91"/>
    <w:rsid w:val="3F322E39"/>
    <w:rsid w:val="3F4A2BCE"/>
    <w:rsid w:val="3FEE7226"/>
    <w:rsid w:val="3FF17DDD"/>
    <w:rsid w:val="3FF60A01"/>
    <w:rsid w:val="40453BAD"/>
    <w:rsid w:val="40F15143"/>
    <w:rsid w:val="42335C79"/>
    <w:rsid w:val="428266FA"/>
    <w:rsid w:val="429648ED"/>
    <w:rsid w:val="4301121B"/>
    <w:rsid w:val="430F158F"/>
    <w:rsid w:val="43546FF6"/>
    <w:rsid w:val="43606EE8"/>
    <w:rsid w:val="436905B2"/>
    <w:rsid w:val="43B12CE2"/>
    <w:rsid w:val="43DF789E"/>
    <w:rsid w:val="44387B6B"/>
    <w:rsid w:val="445D3B28"/>
    <w:rsid w:val="44C70D28"/>
    <w:rsid w:val="44E43637"/>
    <w:rsid w:val="451B643C"/>
    <w:rsid w:val="451C32B7"/>
    <w:rsid w:val="45D077D4"/>
    <w:rsid w:val="45DE4944"/>
    <w:rsid w:val="46331FE2"/>
    <w:rsid w:val="46471940"/>
    <w:rsid w:val="46E53D8E"/>
    <w:rsid w:val="47134FA4"/>
    <w:rsid w:val="477A64BA"/>
    <w:rsid w:val="479414E4"/>
    <w:rsid w:val="47B1592D"/>
    <w:rsid w:val="48434161"/>
    <w:rsid w:val="48F15DFA"/>
    <w:rsid w:val="492C6E96"/>
    <w:rsid w:val="49700952"/>
    <w:rsid w:val="49BF6CE0"/>
    <w:rsid w:val="49D77654"/>
    <w:rsid w:val="4A9365D6"/>
    <w:rsid w:val="4A9C20AF"/>
    <w:rsid w:val="4AA826F9"/>
    <w:rsid w:val="4AF733EF"/>
    <w:rsid w:val="4B5A73D8"/>
    <w:rsid w:val="4BA55408"/>
    <w:rsid w:val="4BA731F8"/>
    <w:rsid w:val="4BB71802"/>
    <w:rsid w:val="4BEF2117"/>
    <w:rsid w:val="4C2459A0"/>
    <w:rsid w:val="4C426447"/>
    <w:rsid w:val="4C7E70AB"/>
    <w:rsid w:val="4C9558A5"/>
    <w:rsid w:val="4CF76CE2"/>
    <w:rsid w:val="4D3E024F"/>
    <w:rsid w:val="4D470606"/>
    <w:rsid w:val="4DAA5F49"/>
    <w:rsid w:val="4E0B2E45"/>
    <w:rsid w:val="4F534F16"/>
    <w:rsid w:val="4F9A33EA"/>
    <w:rsid w:val="503839AD"/>
    <w:rsid w:val="50571AD5"/>
    <w:rsid w:val="50C46433"/>
    <w:rsid w:val="50E70326"/>
    <w:rsid w:val="512C7C11"/>
    <w:rsid w:val="51887C28"/>
    <w:rsid w:val="51B33439"/>
    <w:rsid w:val="52070F93"/>
    <w:rsid w:val="52473222"/>
    <w:rsid w:val="524C1ED0"/>
    <w:rsid w:val="52BB4844"/>
    <w:rsid w:val="52C72F67"/>
    <w:rsid w:val="5347639A"/>
    <w:rsid w:val="53477EB9"/>
    <w:rsid w:val="536C16A7"/>
    <w:rsid w:val="537B2220"/>
    <w:rsid w:val="53844D93"/>
    <w:rsid w:val="53C548B5"/>
    <w:rsid w:val="53CE7134"/>
    <w:rsid w:val="53DF2316"/>
    <w:rsid w:val="540D2DB1"/>
    <w:rsid w:val="54604246"/>
    <w:rsid w:val="553731CD"/>
    <w:rsid w:val="55636B30"/>
    <w:rsid w:val="557B74A5"/>
    <w:rsid w:val="558F42FA"/>
    <w:rsid w:val="55A23BF9"/>
    <w:rsid w:val="56674043"/>
    <w:rsid w:val="577476DB"/>
    <w:rsid w:val="57CF0997"/>
    <w:rsid w:val="57F86A47"/>
    <w:rsid w:val="588954DD"/>
    <w:rsid w:val="58AD4F85"/>
    <w:rsid w:val="58BC336B"/>
    <w:rsid w:val="58F33E56"/>
    <w:rsid w:val="597F0994"/>
    <w:rsid w:val="59A47CE6"/>
    <w:rsid w:val="5A082B87"/>
    <w:rsid w:val="5A482ACC"/>
    <w:rsid w:val="5A522AE9"/>
    <w:rsid w:val="5B0621D5"/>
    <w:rsid w:val="5B506AC3"/>
    <w:rsid w:val="5BB96DA0"/>
    <w:rsid w:val="5BC07CEC"/>
    <w:rsid w:val="5BCC2A83"/>
    <w:rsid w:val="5C3D01F5"/>
    <w:rsid w:val="5C69354C"/>
    <w:rsid w:val="5CCC2C10"/>
    <w:rsid w:val="5CDD1AC7"/>
    <w:rsid w:val="5D155469"/>
    <w:rsid w:val="5D1B79E4"/>
    <w:rsid w:val="5D6F319C"/>
    <w:rsid w:val="5DD931B2"/>
    <w:rsid w:val="5DE544ED"/>
    <w:rsid w:val="5E016EA3"/>
    <w:rsid w:val="5E375E81"/>
    <w:rsid w:val="5ED77FB6"/>
    <w:rsid w:val="5F2E502C"/>
    <w:rsid w:val="5F976F5E"/>
    <w:rsid w:val="60283B21"/>
    <w:rsid w:val="604D59E9"/>
    <w:rsid w:val="60E6216C"/>
    <w:rsid w:val="612051E0"/>
    <w:rsid w:val="61A97543"/>
    <w:rsid w:val="61E15A9D"/>
    <w:rsid w:val="628A6FE3"/>
    <w:rsid w:val="62990512"/>
    <w:rsid w:val="62B64CC7"/>
    <w:rsid w:val="62BF5E5B"/>
    <w:rsid w:val="62E45A43"/>
    <w:rsid w:val="63004BF4"/>
    <w:rsid w:val="639800EC"/>
    <w:rsid w:val="63CA29B9"/>
    <w:rsid w:val="63DF7C45"/>
    <w:rsid w:val="64307255"/>
    <w:rsid w:val="64412FC5"/>
    <w:rsid w:val="64FC706C"/>
    <w:rsid w:val="65000440"/>
    <w:rsid w:val="651248CC"/>
    <w:rsid w:val="652113E3"/>
    <w:rsid w:val="656A5595"/>
    <w:rsid w:val="65D51157"/>
    <w:rsid w:val="65D57A82"/>
    <w:rsid w:val="65F23342"/>
    <w:rsid w:val="661C17C3"/>
    <w:rsid w:val="668B6043"/>
    <w:rsid w:val="66931609"/>
    <w:rsid w:val="66C6028C"/>
    <w:rsid w:val="66CF7BFA"/>
    <w:rsid w:val="675B6F05"/>
    <w:rsid w:val="67A86C1B"/>
    <w:rsid w:val="67F8136D"/>
    <w:rsid w:val="69164C4E"/>
    <w:rsid w:val="69361F76"/>
    <w:rsid w:val="69797C2C"/>
    <w:rsid w:val="698246AA"/>
    <w:rsid w:val="69A31478"/>
    <w:rsid w:val="69C5778C"/>
    <w:rsid w:val="69F348C0"/>
    <w:rsid w:val="6A934155"/>
    <w:rsid w:val="6AD836C7"/>
    <w:rsid w:val="6B4C5F2C"/>
    <w:rsid w:val="6B8019CD"/>
    <w:rsid w:val="6B82437A"/>
    <w:rsid w:val="6BE875E1"/>
    <w:rsid w:val="6C404FA0"/>
    <w:rsid w:val="6C700175"/>
    <w:rsid w:val="6C8B33F5"/>
    <w:rsid w:val="6CA839E1"/>
    <w:rsid w:val="6CE97F64"/>
    <w:rsid w:val="6D07478E"/>
    <w:rsid w:val="6D0A3A33"/>
    <w:rsid w:val="6D344005"/>
    <w:rsid w:val="6D494737"/>
    <w:rsid w:val="6DB87CE6"/>
    <w:rsid w:val="6DCE6351"/>
    <w:rsid w:val="6DF412BA"/>
    <w:rsid w:val="6E145A7C"/>
    <w:rsid w:val="6E6A4764"/>
    <w:rsid w:val="6EF76E3B"/>
    <w:rsid w:val="6F5000FB"/>
    <w:rsid w:val="6F6F2C43"/>
    <w:rsid w:val="6F775489"/>
    <w:rsid w:val="6FD17B32"/>
    <w:rsid w:val="6FF34DF8"/>
    <w:rsid w:val="70D55D00"/>
    <w:rsid w:val="71226277"/>
    <w:rsid w:val="7163687C"/>
    <w:rsid w:val="7182378F"/>
    <w:rsid w:val="72317074"/>
    <w:rsid w:val="72F43CEB"/>
    <w:rsid w:val="7321677A"/>
    <w:rsid w:val="734A6ED2"/>
    <w:rsid w:val="736860E1"/>
    <w:rsid w:val="73F92E98"/>
    <w:rsid w:val="752421E3"/>
    <w:rsid w:val="75900DE8"/>
    <w:rsid w:val="759E4EA7"/>
    <w:rsid w:val="762C644A"/>
    <w:rsid w:val="7643247D"/>
    <w:rsid w:val="76A21497"/>
    <w:rsid w:val="76DA746F"/>
    <w:rsid w:val="76EB1112"/>
    <w:rsid w:val="770A7393"/>
    <w:rsid w:val="771A67F0"/>
    <w:rsid w:val="774133E7"/>
    <w:rsid w:val="777910A1"/>
    <w:rsid w:val="77837BFC"/>
    <w:rsid w:val="77872A68"/>
    <w:rsid w:val="77DA3E0F"/>
    <w:rsid w:val="77E860C6"/>
    <w:rsid w:val="78274C07"/>
    <w:rsid w:val="78930387"/>
    <w:rsid w:val="78981E14"/>
    <w:rsid w:val="79000F77"/>
    <w:rsid w:val="79913BEA"/>
    <w:rsid w:val="79D04BF3"/>
    <w:rsid w:val="79F24EA9"/>
    <w:rsid w:val="7A263FB1"/>
    <w:rsid w:val="7A2F0FE2"/>
    <w:rsid w:val="7AA71CA8"/>
    <w:rsid w:val="7B2E06B5"/>
    <w:rsid w:val="7B4E7A07"/>
    <w:rsid w:val="7B6D0D94"/>
    <w:rsid w:val="7C0D5DAB"/>
    <w:rsid w:val="7C277854"/>
    <w:rsid w:val="7C3A522E"/>
    <w:rsid w:val="7D08364F"/>
    <w:rsid w:val="7D13522A"/>
    <w:rsid w:val="7D3C4D63"/>
    <w:rsid w:val="7DA750C8"/>
    <w:rsid w:val="7DB10CE1"/>
    <w:rsid w:val="7E1708C0"/>
    <w:rsid w:val="7E2C03C1"/>
    <w:rsid w:val="7E4D727E"/>
    <w:rsid w:val="7E565215"/>
    <w:rsid w:val="7EC3761C"/>
    <w:rsid w:val="7F9075B7"/>
    <w:rsid w:val="7FE07212"/>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3722E4-51E8-4A4E-9E51-120F5E307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 w:val="2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hangingChars="200" w:hanging="200"/>
      <w:contextualSpacing/>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批注框文本 Char"/>
    <w:basedOn w:val="a0"/>
    <w:link w:val="ad"/>
    <w:qFormat/>
    <w:rPr>
      <w:kern w:val="2"/>
      <w:sz w:val="18"/>
      <w:szCs w:val="18"/>
    </w:rPr>
  </w:style>
  <w:style w:type="paragraph" w:customStyle="1" w:styleId="12">
    <w:name w:val="列出段落1"/>
    <w:basedOn w:val="a"/>
    <w:link w:val="Chara"/>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b"/>
    <w:link w:val="a3"/>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13">
    <w:name w:val="占位符文本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spacing w:after="160" w:line="259" w:lineRule="auto"/>
      <w:jc w:val="center"/>
    </w:pPr>
    <w:rPr>
      <w:rFonts w:ascii="宋体" w:eastAsiaTheme="minorEastAsia"/>
      <w:b/>
      <w:spacing w:val="20"/>
      <w:w w:val="135"/>
      <w:sz w:val="28"/>
    </w:rPr>
  </w:style>
  <w:style w:type="paragraph" w:customStyle="1" w:styleId="aff2">
    <w:name w:val="示例"/>
    <w:next w:val="aff3"/>
    <w:qFormat/>
    <w:pPr>
      <w:widowControl w:val="0"/>
      <w:spacing w:after="160" w:line="259" w:lineRule="auto"/>
      <w:ind w:left="360" w:hanging="360"/>
      <w:jc w:val="both"/>
    </w:pPr>
    <w:rPr>
      <w:rFonts w:ascii="宋体" w:eastAsiaTheme="minorEastAsia"/>
      <w:sz w:val="18"/>
      <w:szCs w:val="18"/>
    </w:rPr>
  </w:style>
  <w:style w:type="paragraph" w:customStyle="1" w:styleId="aff3">
    <w:name w:val="示例内容"/>
    <w:qFormat/>
    <w:pPr>
      <w:spacing w:after="160" w:line="259" w:lineRule="auto"/>
      <w:ind w:firstLineChars="200" w:firstLine="200"/>
    </w:pPr>
    <w:rPr>
      <w:rFonts w:ascii="宋体" w:eastAsiaTheme="minorEastAsia"/>
      <w:sz w:val="18"/>
      <w:szCs w:val="18"/>
    </w:rPr>
  </w:style>
  <w:style w:type="paragraph" w:customStyle="1" w:styleId="aff4">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5">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after="160" w:line="259" w:lineRule="auto"/>
      <w:jc w:val="both"/>
      <w:outlineLvl w:val="1"/>
    </w:pPr>
    <w:rPr>
      <w:rFonts w:ascii="黑体" w:eastAsia="黑体"/>
      <w:sz w:val="21"/>
    </w:rPr>
  </w:style>
  <w:style w:type="paragraph" w:customStyle="1" w:styleId="affe">
    <w:name w:val="正文表标题"/>
    <w:next w:val="af1"/>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spacing w:after="160" w:line="259" w:lineRule="auto"/>
      <w:jc w:val="both"/>
    </w:pPr>
    <w:rPr>
      <w:rFonts w:ascii="宋体" w:eastAsiaTheme="minorEastAsia"/>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6">
    <w:name w:val="附录四级无"/>
    <w:basedOn w:val="afff1"/>
    <w:qFormat/>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after="160" w:line="680" w:lineRule="exact"/>
      <w:jc w:val="center"/>
      <w:textAlignment w:val="center"/>
    </w:pPr>
    <w:rPr>
      <w:rFonts w:ascii="黑体" w:eastAsia="黑体"/>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4">
    <w:name w:val="标准书眉一"/>
    <w:qFormat/>
    <w:pPr>
      <w:spacing w:after="160" w:line="259" w:lineRule="auto"/>
      <w:jc w:val="both"/>
    </w:pPr>
    <w:rPr>
      <w:rFonts w:eastAsiaTheme="minorEastAsia"/>
    </w:rPr>
  </w:style>
  <w:style w:type="paragraph" w:customStyle="1" w:styleId="affff5">
    <w:name w:val="附录五级无"/>
    <w:basedOn w:val="afff0"/>
    <w:qFormat/>
    <w:pPr>
      <w:tabs>
        <w:tab w:val="clear" w:pos="360"/>
      </w:tabs>
      <w:spacing w:beforeLines="0" w:afterLines="0"/>
    </w:pPr>
    <w:rPr>
      <w:rFonts w:ascii="宋体" w:eastAsia="宋体"/>
      <w:szCs w:val="21"/>
    </w:rPr>
  </w:style>
  <w:style w:type="paragraph" w:customStyle="1" w:styleId="affff6">
    <w:name w:val="图的脚注"/>
    <w:next w:val="af1"/>
    <w:qFormat/>
    <w:pPr>
      <w:widowControl w:val="0"/>
      <w:spacing w:after="160" w:line="259" w:lineRule="auto"/>
      <w:ind w:leftChars="200" w:left="840" w:hangingChars="200" w:hanging="420"/>
      <w:jc w:val="both"/>
    </w:pPr>
    <w:rPr>
      <w:rFonts w:ascii="宋体" w:eastAsiaTheme="minorEastAsia"/>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7">
    <w:name w:val="编号列项（三级）"/>
    <w:qFormat/>
    <w:pPr>
      <w:spacing w:after="160" w:line="259" w:lineRule="auto"/>
    </w:pPr>
    <w:rPr>
      <w:rFonts w:ascii="宋体" w:eastAsiaTheme="minorEastAsia"/>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spacing w:after="160" w:line="259" w:lineRule="auto"/>
      <w:ind w:firstLine="363"/>
      <w:jc w:val="both"/>
    </w:pPr>
    <w:rPr>
      <w:rFonts w:ascii="宋体" w:eastAsiaTheme="minorEastAsia"/>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beforeLines="50"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d">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after="160" w:line="320" w:lineRule="exact"/>
      <w:jc w:val="both"/>
    </w:pPr>
    <w:rPr>
      <w:rFonts w:ascii="宋体" w:eastAsiaTheme="minorEastAsia"/>
      <w:sz w:val="21"/>
    </w:rPr>
  </w:style>
  <w:style w:type="paragraph" w:customStyle="1" w:styleId="affffff">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beforeLines="50"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after="160" w:line="259" w:lineRule="auto"/>
      <w:ind w:right="198"/>
      <w:jc w:val="right"/>
    </w:pPr>
    <w:rPr>
      <w:rFonts w:ascii="宋体" w:eastAsiaTheme="minorEastAsia"/>
      <w:sz w:val="18"/>
      <w:szCs w:val="18"/>
    </w:rPr>
  </w:style>
  <w:style w:type="paragraph" w:customStyle="1" w:styleId="affffffd">
    <w:name w:val="附录二级无"/>
    <w:basedOn w:val="afff3"/>
    <w:qFormat/>
    <w:pPr>
      <w:tabs>
        <w:tab w:val="clear" w:pos="360"/>
      </w:tabs>
      <w:spacing w:beforeLines="0"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1">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5">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12"/>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E44DB9-0151-4D19-B367-7FE67097C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1289</Words>
  <Characters>7350</Characters>
  <Application>Microsoft Office Word</Application>
  <DocSecurity>0</DocSecurity>
  <Lines>61</Lines>
  <Paragraphs>17</Paragraphs>
  <ScaleCrop>false</ScaleCrop>
  <Company>ZTE</Company>
  <LinksUpToDate>false</LinksUpToDate>
  <CharactersWithSpaces>8622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杜忠达10001957</cp:lastModifiedBy>
  <cp:revision>3</cp:revision>
  <cp:lastPrinted>2113-01-01T00:00:00Z</cp:lastPrinted>
  <dcterms:created xsi:type="dcterms:W3CDTF">2018-01-12T06:01:00Z</dcterms:created>
  <dcterms:modified xsi:type="dcterms:W3CDTF">2018-01-12T06:01:00Z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